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EE76A7" w:rsidRPr="003C726D" w:rsidRDefault="00EE76A7" w:rsidP="00B325E1">
      <w:pPr>
        <w:spacing w:line="360" w:lineRule="auto"/>
        <w:rPr>
          <w:rFonts w:eastAsia="Calibri" w:cs="Times New Roman"/>
          <w:szCs w:val="24"/>
          <w:lang w:val="en-GB"/>
        </w:rPr>
      </w:pPr>
    </w:p>
    <w:p w:rsidR="00B67BC3" w:rsidRPr="003C726D" w:rsidRDefault="00B67BC3" w:rsidP="00B325E1">
      <w:pPr>
        <w:spacing w:line="360" w:lineRule="auto"/>
        <w:jc w:val="center"/>
        <w:rPr>
          <w:rFonts w:eastAsia="Calibri" w:cs="Times New Roman"/>
          <w:szCs w:val="24"/>
          <w:lang w:val="en-GB"/>
        </w:rPr>
      </w:pPr>
      <w:r w:rsidRPr="003C726D">
        <w:rPr>
          <w:rFonts w:eastAsia="Calibri" w:cs="Times New Roman"/>
          <w:szCs w:val="24"/>
          <w:lang w:val="en-GB"/>
        </w:rPr>
        <w:t xml:space="preserve">Analysing </w:t>
      </w:r>
      <w:r w:rsidR="003C726D" w:rsidRPr="003C726D">
        <w:rPr>
          <w:rFonts w:eastAsia="Calibri" w:cs="Times New Roman"/>
          <w:szCs w:val="24"/>
          <w:lang w:val="en-GB"/>
        </w:rPr>
        <w:t xml:space="preserve">The Impact of Public Knowledge on the Market Share Index’s Fluctuation </w:t>
      </w:r>
    </w:p>
    <w:p w:rsidR="00EE76A7" w:rsidRPr="003C726D" w:rsidRDefault="00EE76A7" w:rsidP="00B325E1">
      <w:pPr>
        <w:spacing w:line="360" w:lineRule="auto"/>
        <w:jc w:val="center"/>
        <w:rPr>
          <w:rFonts w:eastAsia="Calibri" w:cs="Times New Roman"/>
          <w:szCs w:val="24"/>
          <w:lang w:val="en-GB"/>
        </w:rPr>
      </w:pPr>
      <w:r w:rsidRPr="003C726D">
        <w:rPr>
          <w:rFonts w:eastAsia="Calibri" w:cs="Times New Roman"/>
          <w:szCs w:val="24"/>
          <w:lang w:val="en-GB"/>
        </w:rPr>
        <w:t>[Name of Student]</w:t>
      </w:r>
    </w:p>
    <w:p w:rsidR="00EE76A7" w:rsidRPr="003C726D" w:rsidRDefault="00EE76A7" w:rsidP="00B325E1">
      <w:pPr>
        <w:spacing w:line="360" w:lineRule="auto"/>
        <w:jc w:val="center"/>
        <w:rPr>
          <w:rFonts w:eastAsia="Calibri" w:cs="Times New Roman"/>
          <w:szCs w:val="24"/>
          <w:lang w:val="en-GB"/>
        </w:rPr>
      </w:pPr>
      <w:r w:rsidRPr="003C726D">
        <w:rPr>
          <w:rFonts w:eastAsia="Calibri" w:cs="Times New Roman"/>
          <w:szCs w:val="24"/>
          <w:lang w:val="en-GB"/>
        </w:rPr>
        <w:t>[Name of Institute]</w:t>
      </w:r>
    </w:p>
    <w:p w:rsidR="00EE76A7" w:rsidRPr="003C726D" w:rsidRDefault="00EE76A7" w:rsidP="00B325E1">
      <w:pPr>
        <w:spacing w:line="360" w:lineRule="auto"/>
        <w:jc w:val="center"/>
        <w:rPr>
          <w:rFonts w:eastAsia="Calibri" w:cs="Times New Roman"/>
          <w:szCs w:val="24"/>
          <w:lang w:val="en-GB"/>
        </w:rPr>
      </w:pPr>
      <w:r w:rsidRPr="003C726D">
        <w:rPr>
          <w:rFonts w:eastAsia="Calibri" w:cs="Times New Roman"/>
          <w:szCs w:val="24"/>
          <w:lang w:val="en-GB"/>
        </w:rPr>
        <w:t>[Date]</w:t>
      </w:r>
    </w:p>
    <w:p w:rsidR="00D851ED" w:rsidRPr="003C726D" w:rsidRDefault="004F7149" w:rsidP="00B325E1">
      <w:pPr>
        <w:spacing w:line="360" w:lineRule="auto"/>
        <w:rPr>
          <w:lang w:val="en-GB"/>
        </w:rPr>
      </w:pPr>
      <w:r w:rsidRPr="003C726D">
        <w:rPr>
          <w:lang w:val="en-GB"/>
        </w:rPr>
        <w:t xml:space="preserve"> </w:t>
      </w:r>
    </w:p>
    <w:p w:rsidR="00500357" w:rsidRPr="003C726D" w:rsidRDefault="00500357" w:rsidP="00B325E1">
      <w:pPr>
        <w:spacing w:line="360" w:lineRule="auto"/>
        <w:rPr>
          <w:lang w:val="en-GB"/>
        </w:rPr>
      </w:pPr>
    </w:p>
    <w:p w:rsidR="00500357" w:rsidRPr="003C726D" w:rsidRDefault="00500357" w:rsidP="00B325E1">
      <w:pPr>
        <w:spacing w:line="360" w:lineRule="auto"/>
        <w:rPr>
          <w:lang w:val="en-GB"/>
        </w:rPr>
      </w:pPr>
    </w:p>
    <w:p w:rsidR="00500357" w:rsidRPr="003C726D" w:rsidRDefault="00500357" w:rsidP="00B325E1">
      <w:pPr>
        <w:spacing w:line="360" w:lineRule="auto"/>
        <w:rPr>
          <w:lang w:val="en-GB"/>
        </w:rPr>
      </w:pPr>
    </w:p>
    <w:p w:rsidR="00500357" w:rsidRPr="003C726D" w:rsidRDefault="00500357" w:rsidP="00B325E1">
      <w:pPr>
        <w:spacing w:line="360" w:lineRule="auto"/>
        <w:rPr>
          <w:lang w:val="en-GB"/>
        </w:rPr>
      </w:pPr>
    </w:p>
    <w:p w:rsidR="00500357" w:rsidRPr="003C726D" w:rsidRDefault="00500357" w:rsidP="00B325E1">
      <w:pPr>
        <w:spacing w:line="360" w:lineRule="auto"/>
        <w:rPr>
          <w:lang w:val="en-GB"/>
        </w:rPr>
      </w:pPr>
    </w:p>
    <w:p w:rsidR="00500357" w:rsidRPr="003C726D" w:rsidRDefault="00500357" w:rsidP="00B325E1">
      <w:pPr>
        <w:spacing w:line="360" w:lineRule="auto"/>
        <w:rPr>
          <w:lang w:val="en-GB"/>
        </w:rPr>
      </w:pPr>
    </w:p>
    <w:p w:rsidR="00500357" w:rsidRPr="003C726D" w:rsidRDefault="00500357" w:rsidP="00B325E1">
      <w:pPr>
        <w:spacing w:line="360" w:lineRule="auto"/>
        <w:rPr>
          <w:lang w:val="en-GB"/>
        </w:rPr>
        <w:sectPr w:rsidR="00500357" w:rsidRPr="003C726D">
          <w:headerReference w:type="default" r:id="rId9"/>
          <w:pgSz w:w="12240" w:h="15840"/>
          <w:pgMar w:top="1440" w:right="1440" w:bottom="1440" w:left="1440" w:header="708" w:footer="708" w:gutter="0"/>
          <w:cols w:space="708"/>
          <w:docGrid w:linePitch="360"/>
        </w:sectPr>
      </w:pPr>
    </w:p>
    <w:sdt>
      <w:sdtPr>
        <w:rPr>
          <w:u w:val="double"/>
        </w:rPr>
        <w:id w:val="-1058239395"/>
        <w:docPartObj>
          <w:docPartGallery w:val="Table of Contents"/>
          <w:docPartUnique/>
        </w:docPartObj>
      </w:sdtPr>
      <w:sdtEndPr>
        <w:rPr>
          <w:rFonts w:ascii="Times New Roman" w:eastAsiaTheme="minorHAnsi" w:hAnsi="Times New Roman" w:cstheme="minorBidi"/>
          <w:bCs/>
          <w:noProof/>
          <w:color w:val="auto"/>
          <w:sz w:val="24"/>
          <w:szCs w:val="22"/>
          <w:u w:val="none"/>
        </w:rPr>
      </w:sdtEndPr>
      <w:sdtContent>
        <w:p w:rsidR="008634C4" w:rsidRPr="008634C4" w:rsidRDefault="008634C4" w:rsidP="008634C4">
          <w:pPr>
            <w:pStyle w:val="TOCHeading"/>
            <w:jc w:val="center"/>
            <w:rPr>
              <w:u w:val="double"/>
            </w:rPr>
          </w:pPr>
          <w:r w:rsidRPr="008634C4">
            <w:rPr>
              <w:u w:val="double"/>
            </w:rPr>
            <w:t>Table of Contents</w:t>
          </w:r>
        </w:p>
        <w:p w:rsidR="008634C4" w:rsidRDefault="008634C4">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51115340" w:history="1">
            <w:r w:rsidRPr="00A44659">
              <w:rPr>
                <w:rStyle w:val="Hyperlink"/>
                <w:noProof/>
                <w:lang w:val="en-GB"/>
              </w:rPr>
              <w:t>1</w:t>
            </w:r>
            <w:r>
              <w:rPr>
                <w:rFonts w:asciiTheme="minorHAnsi" w:eastAsiaTheme="minorEastAsia" w:hAnsiTheme="minorHAnsi"/>
                <w:noProof/>
                <w:sz w:val="22"/>
              </w:rPr>
              <w:tab/>
            </w:r>
            <w:r w:rsidRPr="00A44659">
              <w:rPr>
                <w:rStyle w:val="Hyperlink"/>
                <w:noProof/>
                <w:lang w:val="en-GB"/>
              </w:rPr>
              <w:t>Introduction</w:t>
            </w:r>
            <w:r>
              <w:rPr>
                <w:noProof/>
                <w:webHidden/>
              </w:rPr>
              <w:tab/>
            </w:r>
            <w:r>
              <w:rPr>
                <w:noProof/>
                <w:webHidden/>
              </w:rPr>
              <w:fldChar w:fldCharType="begin"/>
            </w:r>
            <w:r>
              <w:rPr>
                <w:noProof/>
                <w:webHidden/>
              </w:rPr>
              <w:instrText xml:space="preserve"> PAGEREF _Toc151115340 \h </w:instrText>
            </w:r>
            <w:r>
              <w:rPr>
                <w:noProof/>
                <w:webHidden/>
              </w:rPr>
            </w:r>
            <w:r>
              <w:rPr>
                <w:noProof/>
                <w:webHidden/>
              </w:rPr>
              <w:fldChar w:fldCharType="separate"/>
            </w:r>
            <w:r>
              <w:rPr>
                <w:noProof/>
                <w:webHidden/>
              </w:rPr>
              <w:t>1</w:t>
            </w:r>
            <w:r>
              <w:rPr>
                <w:noProof/>
                <w:webHidden/>
              </w:rPr>
              <w:fldChar w:fldCharType="end"/>
            </w:r>
          </w:hyperlink>
        </w:p>
        <w:p w:rsidR="008634C4" w:rsidRDefault="008634C4">
          <w:pPr>
            <w:pStyle w:val="TOC1"/>
            <w:tabs>
              <w:tab w:val="left" w:pos="480"/>
              <w:tab w:val="right" w:leader="dot" w:pos="9350"/>
            </w:tabs>
            <w:rPr>
              <w:rFonts w:asciiTheme="minorHAnsi" w:eastAsiaTheme="minorEastAsia" w:hAnsiTheme="minorHAnsi"/>
              <w:noProof/>
              <w:sz w:val="22"/>
            </w:rPr>
          </w:pPr>
          <w:hyperlink w:anchor="_Toc151115341" w:history="1">
            <w:r w:rsidRPr="00A44659">
              <w:rPr>
                <w:rStyle w:val="Hyperlink"/>
                <w:noProof/>
                <w:lang w:val="en-GB"/>
              </w:rPr>
              <w:t>2</w:t>
            </w:r>
            <w:r>
              <w:rPr>
                <w:rFonts w:asciiTheme="minorHAnsi" w:eastAsiaTheme="minorEastAsia" w:hAnsiTheme="minorHAnsi"/>
                <w:noProof/>
                <w:sz w:val="22"/>
              </w:rPr>
              <w:tab/>
            </w:r>
            <w:r w:rsidRPr="00A44659">
              <w:rPr>
                <w:rStyle w:val="Hyperlink"/>
                <w:noProof/>
                <w:lang w:val="en-GB"/>
              </w:rPr>
              <w:t>Context</w:t>
            </w:r>
            <w:r>
              <w:rPr>
                <w:noProof/>
                <w:webHidden/>
              </w:rPr>
              <w:tab/>
            </w:r>
            <w:r>
              <w:rPr>
                <w:noProof/>
                <w:webHidden/>
              </w:rPr>
              <w:fldChar w:fldCharType="begin"/>
            </w:r>
            <w:r>
              <w:rPr>
                <w:noProof/>
                <w:webHidden/>
              </w:rPr>
              <w:instrText xml:space="preserve"> PAGEREF _Toc151115341 \h </w:instrText>
            </w:r>
            <w:r>
              <w:rPr>
                <w:noProof/>
                <w:webHidden/>
              </w:rPr>
            </w:r>
            <w:r>
              <w:rPr>
                <w:noProof/>
                <w:webHidden/>
              </w:rPr>
              <w:fldChar w:fldCharType="separate"/>
            </w:r>
            <w:r>
              <w:rPr>
                <w:noProof/>
                <w:webHidden/>
              </w:rPr>
              <w:t>1</w:t>
            </w:r>
            <w:r>
              <w:rPr>
                <w:noProof/>
                <w:webHidden/>
              </w:rPr>
              <w:fldChar w:fldCharType="end"/>
            </w:r>
          </w:hyperlink>
        </w:p>
        <w:p w:rsidR="008634C4" w:rsidRDefault="008634C4">
          <w:pPr>
            <w:pStyle w:val="TOC1"/>
            <w:tabs>
              <w:tab w:val="left" w:pos="480"/>
              <w:tab w:val="right" w:leader="dot" w:pos="9350"/>
            </w:tabs>
            <w:rPr>
              <w:rFonts w:asciiTheme="minorHAnsi" w:eastAsiaTheme="minorEastAsia" w:hAnsiTheme="minorHAnsi"/>
              <w:noProof/>
              <w:sz w:val="22"/>
            </w:rPr>
          </w:pPr>
          <w:hyperlink w:anchor="_Toc151115342" w:history="1">
            <w:r w:rsidRPr="00A44659">
              <w:rPr>
                <w:rStyle w:val="Hyperlink"/>
                <w:noProof/>
                <w:lang w:val="en-GB"/>
              </w:rPr>
              <w:t>3</w:t>
            </w:r>
            <w:r>
              <w:rPr>
                <w:rFonts w:asciiTheme="minorHAnsi" w:eastAsiaTheme="minorEastAsia" w:hAnsiTheme="minorHAnsi"/>
                <w:noProof/>
                <w:sz w:val="22"/>
              </w:rPr>
              <w:tab/>
            </w:r>
            <w:r w:rsidRPr="00A44659">
              <w:rPr>
                <w:rStyle w:val="Hyperlink"/>
                <w:noProof/>
                <w:lang w:val="en-GB"/>
              </w:rPr>
              <w:t>Literature Review</w:t>
            </w:r>
            <w:r>
              <w:rPr>
                <w:noProof/>
                <w:webHidden/>
              </w:rPr>
              <w:tab/>
            </w:r>
            <w:r>
              <w:rPr>
                <w:noProof/>
                <w:webHidden/>
              </w:rPr>
              <w:fldChar w:fldCharType="begin"/>
            </w:r>
            <w:r>
              <w:rPr>
                <w:noProof/>
                <w:webHidden/>
              </w:rPr>
              <w:instrText xml:space="preserve"> PAGEREF _Toc151115342 \h </w:instrText>
            </w:r>
            <w:r>
              <w:rPr>
                <w:noProof/>
                <w:webHidden/>
              </w:rPr>
            </w:r>
            <w:r>
              <w:rPr>
                <w:noProof/>
                <w:webHidden/>
              </w:rPr>
              <w:fldChar w:fldCharType="separate"/>
            </w:r>
            <w:r>
              <w:rPr>
                <w:noProof/>
                <w:webHidden/>
              </w:rPr>
              <w:t>2</w:t>
            </w:r>
            <w:r>
              <w:rPr>
                <w:noProof/>
                <w:webHidden/>
              </w:rPr>
              <w:fldChar w:fldCharType="end"/>
            </w:r>
          </w:hyperlink>
        </w:p>
        <w:p w:rsidR="008634C4" w:rsidRDefault="008634C4">
          <w:pPr>
            <w:pStyle w:val="TOC2"/>
            <w:tabs>
              <w:tab w:val="left" w:pos="880"/>
              <w:tab w:val="right" w:leader="dot" w:pos="9350"/>
            </w:tabs>
            <w:rPr>
              <w:rFonts w:asciiTheme="minorHAnsi" w:eastAsiaTheme="minorEastAsia" w:hAnsiTheme="minorHAnsi"/>
              <w:noProof/>
              <w:sz w:val="22"/>
            </w:rPr>
          </w:pPr>
          <w:hyperlink w:anchor="_Toc151115343" w:history="1">
            <w:r w:rsidRPr="00A44659">
              <w:rPr>
                <w:rStyle w:val="Hyperlink"/>
                <w:noProof/>
                <w:lang w:val="en-GB"/>
              </w:rPr>
              <w:t>3.1</w:t>
            </w:r>
            <w:r>
              <w:rPr>
                <w:rFonts w:asciiTheme="minorHAnsi" w:eastAsiaTheme="minorEastAsia" w:hAnsiTheme="minorHAnsi"/>
                <w:noProof/>
                <w:sz w:val="22"/>
              </w:rPr>
              <w:tab/>
            </w:r>
            <w:r w:rsidRPr="00A44659">
              <w:rPr>
                <w:rStyle w:val="Hyperlink"/>
                <w:noProof/>
                <w:lang w:val="en-GB"/>
              </w:rPr>
              <w:t>Challenging Aspects of Market Share Index Fluctuations</w:t>
            </w:r>
            <w:r>
              <w:rPr>
                <w:noProof/>
                <w:webHidden/>
              </w:rPr>
              <w:tab/>
            </w:r>
            <w:r>
              <w:rPr>
                <w:noProof/>
                <w:webHidden/>
              </w:rPr>
              <w:fldChar w:fldCharType="begin"/>
            </w:r>
            <w:r>
              <w:rPr>
                <w:noProof/>
                <w:webHidden/>
              </w:rPr>
              <w:instrText xml:space="preserve"> PAGEREF _Toc151115343 \h </w:instrText>
            </w:r>
            <w:r>
              <w:rPr>
                <w:noProof/>
                <w:webHidden/>
              </w:rPr>
            </w:r>
            <w:r>
              <w:rPr>
                <w:noProof/>
                <w:webHidden/>
              </w:rPr>
              <w:fldChar w:fldCharType="separate"/>
            </w:r>
            <w:r>
              <w:rPr>
                <w:noProof/>
                <w:webHidden/>
              </w:rPr>
              <w:t>2</w:t>
            </w:r>
            <w:r>
              <w:rPr>
                <w:noProof/>
                <w:webHidden/>
              </w:rPr>
              <w:fldChar w:fldCharType="end"/>
            </w:r>
          </w:hyperlink>
        </w:p>
        <w:p w:rsidR="008634C4" w:rsidRDefault="008634C4">
          <w:pPr>
            <w:pStyle w:val="TOC2"/>
            <w:tabs>
              <w:tab w:val="left" w:pos="880"/>
              <w:tab w:val="right" w:leader="dot" w:pos="9350"/>
            </w:tabs>
            <w:rPr>
              <w:rFonts w:asciiTheme="minorHAnsi" w:eastAsiaTheme="minorEastAsia" w:hAnsiTheme="minorHAnsi"/>
              <w:noProof/>
              <w:sz w:val="22"/>
            </w:rPr>
          </w:pPr>
          <w:hyperlink w:anchor="_Toc151115344" w:history="1">
            <w:r w:rsidRPr="00A44659">
              <w:rPr>
                <w:rStyle w:val="Hyperlink"/>
                <w:noProof/>
                <w:lang w:val="en-GB"/>
              </w:rPr>
              <w:t>3.2</w:t>
            </w:r>
            <w:r>
              <w:rPr>
                <w:rFonts w:asciiTheme="minorHAnsi" w:eastAsiaTheme="minorEastAsia" w:hAnsiTheme="minorHAnsi"/>
                <w:noProof/>
                <w:sz w:val="22"/>
              </w:rPr>
              <w:tab/>
            </w:r>
            <w:r w:rsidRPr="00A44659">
              <w:rPr>
                <w:rStyle w:val="Hyperlink"/>
                <w:noProof/>
                <w:lang w:val="en-GB"/>
              </w:rPr>
              <w:t>Public Knowledge and Market Sentiments Influence</w:t>
            </w:r>
            <w:r>
              <w:rPr>
                <w:noProof/>
                <w:webHidden/>
              </w:rPr>
              <w:tab/>
            </w:r>
            <w:r>
              <w:rPr>
                <w:noProof/>
                <w:webHidden/>
              </w:rPr>
              <w:fldChar w:fldCharType="begin"/>
            </w:r>
            <w:r>
              <w:rPr>
                <w:noProof/>
                <w:webHidden/>
              </w:rPr>
              <w:instrText xml:space="preserve"> PAGEREF _Toc151115344 \h </w:instrText>
            </w:r>
            <w:r>
              <w:rPr>
                <w:noProof/>
                <w:webHidden/>
              </w:rPr>
            </w:r>
            <w:r>
              <w:rPr>
                <w:noProof/>
                <w:webHidden/>
              </w:rPr>
              <w:fldChar w:fldCharType="separate"/>
            </w:r>
            <w:r>
              <w:rPr>
                <w:noProof/>
                <w:webHidden/>
              </w:rPr>
              <w:t>2</w:t>
            </w:r>
            <w:r>
              <w:rPr>
                <w:noProof/>
                <w:webHidden/>
              </w:rPr>
              <w:fldChar w:fldCharType="end"/>
            </w:r>
          </w:hyperlink>
        </w:p>
        <w:p w:rsidR="008634C4" w:rsidRDefault="008634C4">
          <w:pPr>
            <w:pStyle w:val="TOC2"/>
            <w:tabs>
              <w:tab w:val="left" w:pos="880"/>
              <w:tab w:val="right" w:leader="dot" w:pos="9350"/>
            </w:tabs>
            <w:rPr>
              <w:rFonts w:asciiTheme="minorHAnsi" w:eastAsiaTheme="minorEastAsia" w:hAnsiTheme="minorHAnsi"/>
              <w:noProof/>
              <w:sz w:val="22"/>
            </w:rPr>
          </w:pPr>
          <w:hyperlink w:anchor="_Toc151115345" w:history="1">
            <w:r w:rsidRPr="00A44659">
              <w:rPr>
                <w:rStyle w:val="Hyperlink"/>
                <w:noProof/>
                <w:lang w:val="en-GB"/>
              </w:rPr>
              <w:t>3.3</w:t>
            </w:r>
            <w:r>
              <w:rPr>
                <w:rFonts w:asciiTheme="minorHAnsi" w:eastAsiaTheme="minorEastAsia" w:hAnsiTheme="minorHAnsi"/>
                <w:noProof/>
                <w:sz w:val="22"/>
              </w:rPr>
              <w:tab/>
            </w:r>
            <w:r w:rsidRPr="00A44659">
              <w:rPr>
                <w:rStyle w:val="Hyperlink"/>
                <w:noProof/>
                <w:lang w:val="en-GB"/>
              </w:rPr>
              <w:t>Effects of Economic Indicators and Corporate Performance</w:t>
            </w:r>
            <w:r>
              <w:rPr>
                <w:noProof/>
                <w:webHidden/>
              </w:rPr>
              <w:tab/>
            </w:r>
            <w:r>
              <w:rPr>
                <w:noProof/>
                <w:webHidden/>
              </w:rPr>
              <w:fldChar w:fldCharType="begin"/>
            </w:r>
            <w:r>
              <w:rPr>
                <w:noProof/>
                <w:webHidden/>
              </w:rPr>
              <w:instrText xml:space="preserve"> PAGEREF _Toc151115345 \h </w:instrText>
            </w:r>
            <w:r>
              <w:rPr>
                <w:noProof/>
                <w:webHidden/>
              </w:rPr>
            </w:r>
            <w:r>
              <w:rPr>
                <w:noProof/>
                <w:webHidden/>
              </w:rPr>
              <w:fldChar w:fldCharType="separate"/>
            </w:r>
            <w:r>
              <w:rPr>
                <w:noProof/>
                <w:webHidden/>
              </w:rPr>
              <w:t>3</w:t>
            </w:r>
            <w:r>
              <w:rPr>
                <w:noProof/>
                <w:webHidden/>
              </w:rPr>
              <w:fldChar w:fldCharType="end"/>
            </w:r>
          </w:hyperlink>
        </w:p>
        <w:p w:rsidR="008634C4" w:rsidRDefault="008634C4">
          <w:pPr>
            <w:pStyle w:val="TOC2"/>
            <w:tabs>
              <w:tab w:val="left" w:pos="880"/>
              <w:tab w:val="right" w:leader="dot" w:pos="9350"/>
            </w:tabs>
            <w:rPr>
              <w:rFonts w:asciiTheme="minorHAnsi" w:eastAsiaTheme="minorEastAsia" w:hAnsiTheme="minorHAnsi"/>
              <w:noProof/>
              <w:sz w:val="22"/>
            </w:rPr>
          </w:pPr>
          <w:hyperlink w:anchor="_Toc151115346" w:history="1">
            <w:r w:rsidRPr="00A44659">
              <w:rPr>
                <w:rStyle w:val="Hyperlink"/>
                <w:noProof/>
                <w:lang w:val="en-GB"/>
              </w:rPr>
              <w:t>3.4</w:t>
            </w:r>
            <w:r>
              <w:rPr>
                <w:rFonts w:asciiTheme="minorHAnsi" w:eastAsiaTheme="minorEastAsia" w:hAnsiTheme="minorHAnsi"/>
                <w:noProof/>
                <w:sz w:val="22"/>
              </w:rPr>
              <w:tab/>
            </w:r>
            <w:r w:rsidRPr="00A44659">
              <w:rPr>
                <w:rStyle w:val="Hyperlink"/>
                <w:noProof/>
                <w:lang w:val="en-GB"/>
              </w:rPr>
              <w:t>Government Policies and Market Mediators</w:t>
            </w:r>
            <w:r>
              <w:rPr>
                <w:noProof/>
                <w:webHidden/>
              </w:rPr>
              <w:tab/>
            </w:r>
            <w:r>
              <w:rPr>
                <w:noProof/>
                <w:webHidden/>
              </w:rPr>
              <w:fldChar w:fldCharType="begin"/>
            </w:r>
            <w:r>
              <w:rPr>
                <w:noProof/>
                <w:webHidden/>
              </w:rPr>
              <w:instrText xml:space="preserve"> PAGEREF _Toc151115346 \h </w:instrText>
            </w:r>
            <w:r>
              <w:rPr>
                <w:noProof/>
                <w:webHidden/>
              </w:rPr>
            </w:r>
            <w:r>
              <w:rPr>
                <w:noProof/>
                <w:webHidden/>
              </w:rPr>
              <w:fldChar w:fldCharType="separate"/>
            </w:r>
            <w:r>
              <w:rPr>
                <w:noProof/>
                <w:webHidden/>
              </w:rPr>
              <w:t>3</w:t>
            </w:r>
            <w:r>
              <w:rPr>
                <w:noProof/>
                <w:webHidden/>
              </w:rPr>
              <w:fldChar w:fldCharType="end"/>
            </w:r>
          </w:hyperlink>
        </w:p>
        <w:p w:rsidR="008634C4" w:rsidRDefault="008634C4">
          <w:pPr>
            <w:pStyle w:val="TOC1"/>
            <w:tabs>
              <w:tab w:val="left" w:pos="480"/>
              <w:tab w:val="right" w:leader="dot" w:pos="9350"/>
            </w:tabs>
            <w:rPr>
              <w:rFonts w:asciiTheme="minorHAnsi" w:eastAsiaTheme="minorEastAsia" w:hAnsiTheme="minorHAnsi"/>
              <w:noProof/>
              <w:sz w:val="22"/>
            </w:rPr>
          </w:pPr>
          <w:hyperlink w:anchor="_Toc151115347" w:history="1">
            <w:r w:rsidRPr="00A44659">
              <w:rPr>
                <w:rStyle w:val="Hyperlink"/>
                <w:noProof/>
                <w:lang w:val="en-GB"/>
              </w:rPr>
              <w:t>4</w:t>
            </w:r>
            <w:r>
              <w:rPr>
                <w:rFonts w:asciiTheme="minorHAnsi" w:eastAsiaTheme="minorEastAsia" w:hAnsiTheme="minorHAnsi"/>
                <w:noProof/>
                <w:sz w:val="22"/>
              </w:rPr>
              <w:tab/>
            </w:r>
            <w:r w:rsidRPr="00A44659">
              <w:rPr>
                <w:rStyle w:val="Hyperlink"/>
                <w:noProof/>
                <w:lang w:val="en-GB"/>
              </w:rPr>
              <w:t>Research Objectives and Questions</w:t>
            </w:r>
            <w:r>
              <w:rPr>
                <w:noProof/>
                <w:webHidden/>
              </w:rPr>
              <w:tab/>
            </w:r>
            <w:r>
              <w:rPr>
                <w:noProof/>
                <w:webHidden/>
              </w:rPr>
              <w:fldChar w:fldCharType="begin"/>
            </w:r>
            <w:r>
              <w:rPr>
                <w:noProof/>
                <w:webHidden/>
              </w:rPr>
              <w:instrText xml:space="preserve"> PAGEREF _Toc151115347 \h </w:instrText>
            </w:r>
            <w:r>
              <w:rPr>
                <w:noProof/>
                <w:webHidden/>
              </w:rPr>
            </w:r>
            <w:r>
              <w:rPr>
                <w:noProof/>
                <w:webHidden/>
              </w:rPr>
              <w:fldChar w:fldCharType="separate"/>
            </w:r>
            <w:r>
              <w:rPr>
                <w:noProof/>
                <w:webHidden/>
              </w:rPr>
              <w:t>4</w:t>
            </w:r>
            <w:r>
              <w:rPr>
                <w:noProof/>
                <w:webHidden/>
              </w:rPr>
              <w:fldChar w:fldCharType="end"/>
            </w:r>
          </w:hyperlink>
        </w:p>
        <w:p w:rsidR="008634C4" w:rsidRDefault="008634C4">
          <w:pPr>
            <w:pStyle w:val="TOC2"/>
            <w:tabs>
              <w:tab w:val="left" w:pos="880"/>
              <w:tab w:val="right" w:leader="dot" w:pos="9350"/>
            </w:tabs>
            <w:rPr>
              <w:rFonts w:asciiTheme="minorHAnsi" w:eastAsiaTheme="minorEastAsia" w:hAnsiTheme="minorHAnsi"/>
              <w:noProof/>
              <w:sz w:val="22"/>
            </w:rPr>
          </w:pPr>
          <w:hyperlink w:anchor="_Toc151115348" w:history="1">
            <w:r w:rsidRPr="00A44659">
              <w:rPr>
                <w:rStyle w:val="Hyperlink"/>
                <w:noProof/>
                <w:lang w:val="en-GB"/>
              </w:rPr>
              <w:t>4.1</w:t>
            </w:r>
            <w:r>
              <w:rPr>
                <w:rFonts w:asciiTheme="minorHAnsi" w:eastAsiaTheme="minorEastAsia" w:hAnsiTheme="minorHAnsi"/>
                <w:noProof/>
                <w:sz w:val="22"/>
              </w:rPr>
              <w:tab/>
            </w:r>
            <w:r w:rsidRPr="00A44659">
              <w:rPr>
                <w:rStyle w:val="Hyperlink"/>
                <w:noProof/>
                <w:lang w:val="en-GB"/>
              </w:rPr>
              <w:t>Question</w:t>
            </w:r>
            <w:r>
              <w:rPr>
                <w:noProof/>
                <w:webHidden/>
              </w:rPr>
              <w:tab/>
            </w:r>
            <w:r>
              <w:rPr>
                <w:noProof/>
                <w:webHidden/>
              </w:rPr>
              <w:fldChar w:fldCharType="begin"/>
            </w:r>
            <w:r>
              <w:rPr>
                <w:noProof/>
                <w:webHidden/>
              </w:rPr>
              <w:instrText xml:space="preserve"> PAGEREF _Toc151115348 \h </w:instrText>
            </w:r>
            <w:r>
              <w:rPr>
                <w:noProof/>
                <w:webHidden/>
              </w:rPr>
            </w:r>
            <w:r>
              <w:rPr>
                <w:noProof/>
                <w:webHidden/>
              </w:rPr>
              <w:fldChar w:fldCharType="separate"/>
            </w:r>
            <w:r>
              <w:rPr>
                <w:noProof/>
                <w:webHidden/>
              </w:rPr>
              <w:t>4</w:t>
            </w:r>
            <w:r>
              <w:rPr>
                <w:noProof/>
                <w:webHidden/>
              </w:rPr>
              <w:fldChar w:fldCharType="end"/>
            </w:r>
          </w:hyperlink>
        </w:p>
        <w:p w:rsidR="008634C4" w:rsidRDefault="008634C4">
          <w:pPr>
            <w:pStyle w:val="TOC2"/>
            <w:tabs>
              <w:tab w:val="left" w:pos="880"/>
              <w:tab w:val="right" w:leader="dot" w:pos="9350"/>
            </w:tabs>
            <w:rPr>
              <w:rFonts w:asciiTheme="minorHAnsi" w:eastAsiaTheme="minorEastAsia" w:hAnsiTheme="minorHAnsi"/>
              <w:noProof/>
              <w:sz w:val="22"/>
            </w:rPr>
          </w:pPr>
          <w:hyperlink w:anchor="_Toc151115349" w:history="1">
            <w:r w:rsidRPr="00A44659">
              <w:rPr>
                <w:rStyle w:val="Hyperlink"/>
                <w:noProof/>
                <w:lang w:val="en-GB"/>
              </w:rPr>
              <w:t>4.2</w:t>
            </w:r>
            <w:r>
              <w:rPr>
                <w:rFonts w:asciiTheme="minorHAnsi" w:eastAsiaTheme="minorEastAsia" w:hAnsiTheme="minorHAnsi"/>
                <w:noProof/>
                <w:sz w:val="22"/>
              </w:rPr>
              <w:tab/>
            </w:r>
            <w:r w:rsidRPr="00A44659">
              <w:rPr>
                <w:rStyle w:val="Hyperlink"/>
                <w:noProof/>
                <w:lang w:val="en-GB"/>
              </w:rPr>
              <w:t>Objectives</w:t>
            </w:r>
            <w:r>
              <w:rPr>
                <w:noProof/>
                <w:webHidden/>
              </w:rPr>
              <w:tab/>
            </w:r>
            <w:r>
              <w:rPr>
                <w:noProof/>
                <w:webHidden/>
              </w:rPr>
              <w:fldChar w:fldCharType="begin"/>
            </w:r>
            <w:r>
              <w:rPr>
                <w:noProof/>
                <w:webHidden/>
              </w:rPr>
              <w:instrText xml:space="preserve"> PAGEREF _Toc151115349 \h </w:instrText>
            </w:r>
            <w:r>
              <w:rPr>
                <w:noProof/>
                <w:webHidden/>
              </w:rPr>
            </w:r>
            <w:r>
              <w:rPr>
                <w:noProof/>
                <w:webHidden/>
              </w:rPr>
              <w:fldChar w:fldCharType="separate"/>
            </w:r>
            <w:r>
              <w:rPr>
                <w:noProof/>
                <w:webHidden/>
              </w:rPr>
              <w:t>4</w:t>
            </w:r>
            <w:r>
              <w:rPr>
                <w:noProof/>
                <w:webHidden/>
              </w:rPr>
              <w:fldChar w:fldCharType="end"/>
            </w:r>
          </w:hyperlink>
        </w:p>
        <w:p w:rsidR="008634C4" w:rsidRDefault="008634C4">
          <w:pPr>
            <w:pStyle w:val="TOC1"/>
            <w:tabs>
              <w:tab w:val="left" w:pos="480"/>
              <w:tab w:val="right" w:leader="dot" w:pos="9350"/>
            </w:tabs>
            <w:rPr>
              <w:rFonts w:asciiTheme="minorHAnsi" w:eastAsiaTheme="minorEastAsia" w:hAnsiTheme="minorHAnsi"/>
              <w:noProof/>
              <w:sz w:val="22"/>
            </w:rPr>
          </w:pPr>
          <w:hyperlink w:anchor="_Toc151115350" w:history="1">
            <w:r w:rsidRPr="00A44659">
              <w:rPr>
                <w:rStyle w:val="Hyperlink"/>
                <w:noProof/>
                <w:lang w:val="en-GB"/>
              </w:rPr>
              <w:t>5</w:t>
            </w:r>
            <w:r>
              <w:rPr>
                <w:rFonts w:asciiTheme="minorHAnsi" w:eastAsiaTheme="minorEastAsia" w:hAnsiTheme="minorHAnsi"/>
                <w:noProof/>
                <w:sz w:val="22"/>
              </w:rPr>
              <w:tab/>
            </w:r>
            <w:r w:rsidRPr="00A44659">
              <w:rPr>
                <w:rStyle w:val="Hyperlink"/>
                <w:noProof/>
                <w:lang w:val="en-GB"/>
              </w:rPr>
              <w:t>Methodology</w:t>
            </w:r>
            <w:r>
              <w:rPr>
                <w:noProof/>
                <w:webHidden/>
              </w:rPr>
              <w:tab/>
            </w:r>
            <w:r>
              <w:rPr>
                <w:noProof/>
                <w:webHidden/>
              </w:rPr>
              <w:fldChar w:fldCharType="begin"/>
            </w:r>
            <w:r>
              <w:rPr>
                <w:noProof/>
                <w:webHidden/>
              </w:rPr>
              <w:instrText xml:space="preserve"> PAGEREF _Toc151115350 \h </w:instrText>
            </w:r>
            <w:r>
              <w:rPr>
                <w:noProof/>
                <w:webHidden/>
              </w:rPr>
            </w:r>
            <w:r>
              <w:rPr>
                <w:noProof/>
                <w:webHidden/>
              </w:rPr>
              <w:fldChar w:fldCharType="separate"/>
            </w:r>
            <w:r>
              <w:rPr>
                <w:noProof/>
                <w:webHidden/>
              </w:rPr>
              <w:t>4</w:t>
            </w:r>
            <w:r>
              <w:rPr>
                <w:noProof/>
                <w:webHidden/>
              </w:rPr>
              <w:fldChar w:fldCharType="end"/>
            </w:r>
          </w:hyperlink>
        </w:p>
        <w:p w:rsidR="008634C4" w:rsidRDefault="008634C4">
          <w:pPr>
            <w:pStyle w:val="TOC1"/>
            <w:tabs>
              <w:tab w:val="right" w:leader="dot" w:pos="9350"/>
            </w:tabs>
            <w:rPr>
              <w:rFonts w:asciiTheme="minorHAnsi" w:eastAsiaTheme="minorEastAsia" w:hAnsiTheme="minorHAnsi"/>
              <w:noProof/>
              <w:sz w:val="22"/>
            </w:rPr>
          </w:pPr>
          <w:hyperlink w:anchor="_Toc151115351" w:history="1">
            <w:r w:rsidRPr="00A44659">
              <w:rPr>
                <w:rStyle w:val="Hyperlink"/>
                <w:noProof/>
                <w:lang w:val="en-GB"/>
              </w:rPr>
              <w:t>References</w:t>
            </w:r>
            <w:r>
              <w:rPr>
                <w:noProof/>
                <w:webHidden/>
              </w:rPr>
              <w:tab/>
            </w:r>
            <w:r>
              <w:rPr>
                <w:noProof/>
                <w:webHidden/>
              </w:rPr>
              <w:fldChar w:fldCharType="begin"/>
            </w:r>
            <w:r>
              <w:rPr>
                <w:noProof/>
                <w:webHidden/>
              </w:rPr>
              <w:instrText xml:space="preserve"> PAGEREF _Toc151115351 \h </w:instrText>
            </w:r>
            <w:r>
              <w:rPr>
                <w:noProof/>
                <w:webHidden/>
              </w:rPr>
            </w:r>
            <w:r>
              <w:rPr>
                <w:noProof/>
                <w:webHidden/>
              </w:rPr>
              <w:fldChar w:fldCharType="separate"/>
            </w:r>
            <w:r>
              <w:rPr>
                <w:noProof/>
                <w:webHidden/>
              </w:rPr>
              <w:t>6</w:t>
            </w:r>
            <w:r>
              <w:rPr>
                <w:noProof/>
                <w:webHidden/>
              </w:rPr>
              <w:fldChar w:fldCharType="end"/>
            </w:r>
          </w:hyperlink>
        </w:p>
        <w:p w:rsidR="008634C4" w:rsidRDefault="008634C4">
          <w:pPr>
            <w:pStyle w:val="TOC1"/>
            <w:tabs>
              <w:tab w:val="right" w:leader="dot" w:pos="9350"/>
            </w:tabs>
            <w:rPr>
              <w:rFonts w:asciiTheme="minorHAnsi" w:eastAsiaTheme="minorEastAsia" w:hAnsiTheme="minorHAnsi"/>
              <w:noProof/>
              <w:sz w:val="22"/>
            </w:rPr>
          </w:pPr>
          <w:hyperlink w:anchor="_Toc151115352" w:history="1">
            <w:r w:rsidRPr="00A44659">
              <w:rPr>
                <w:rStyle w:val="Hyperlink"/>
                <w:noProof/>
                <w:lang w:val="en-GB"/>
              </w:rPr>
              <w:t>Appendices</w:t>
            </w:r>
            <w:r>
              <w:rPr>
                <w:noProof/>
                <w:webHidden/>
              </w:rPr>
              <w:tab/>
            </w:r>
            <w:r>
              <w:rPr>
                <w:noProof/>
                <w:webHidden/>
              </w:rPr>
              <w:fldChar w:fldCharType="begin"/>
            </w:r>
            <w:r>
              <w:rPr>
                <w:noProof/>
                <w:webHidden/>
              </w:rPr>
              <w:instrText xml:space="preserve"> PAGEREF _Toc151115352 \h </w:instrText>
            </w:r>
            <w:r>
              <w:rPr>
                <w:noProof/>
                <w:webHidden/>
              </w:rPr>
            </w:r>
            <w:r>
              <w:rPr>
                <w:noProof/>
                <w:webHidden/>
              </w:rPr>
              <w:fldChar w:fldCharType="separate"/>
            </w:r>
            <w:r>
              <w:rPr>
                <w:noProof/>
                <w:webHidden/>
              </w:rPr>
              <w:t>8</w:t>
            </w:r>
            <w:r>
              <w:rPr>
                <w:noProof/>
                <w:webHidden/>
              </w:rPr>
              <w:fldChar w:fldCharType="end"/>
            </w:r>
          </w:hyperlink>
        </w:p>
        <w:p w:rsidR="008634C4" w:rsidRDefault="008634C4">
          <w:pPr>
            <w:pStyle w:val="TOC2"/>
            <w:tabs>
              <w:tab w:val="right" w:leader="dot" w:pos="9350"/>
            </w:tabs>
            <w:rPr>
              <w:rFonts w:asciiTheme="minorHAnsi" w:eastAsiaTheme="minorEastAsia" w:hAnsiTheme="minorHAnsi"/>
              <w:noProof/>
              <w:sz w:val="22"/>
            </w:rPr>
          </w:pPr>
          <w:hyperlink w:anchor="_Toc151115353" w:history="1">
            <w:r w:rsidRPr="00A44659">
              <w:rPr>
                <w:rStyle w:val="Hyperlink"/>
                <w:noProof/>
                <w:lang w:val="en-GB"/>
              </w:rPr>
              <w:t>Appendix 1- Gantt chart for Project Timeline</w:t>
            </w:r>
            <w:r>
              <w:rPr>
                <w:noProof/>
                <w:webHidden/>
              </w:rPr>
              <w:tab/>
            </w:r>
            <w:r>
              <w:rPr>
                <w:noProof/>
                <w:webHidden/>
              </w:rPr>
              <w:fldChar w:fldCharType="begin"/>
            </w:r>
            <w:r>
              <w:rPr>
                <w:noProof/>
                <w:webHidden/>
              </w:rPr>
              <w:instrText xml:space="preserve"> PAGEREF _Toc151115353 \h </w:instrText>
            </w:r>
            <w:r>
              <w:rPr>
                <w:noProof/>
                <w:webHidden/>
              </w:rPr>
            </w:r>
            <w:r>
              <w:rPr>
                <w:noProof/>
                <w:webHidden/>
              </w:rPr>
              <w:fldChar w:fldCharType="separate"/>
            </w:r>
            <w:r>
              <w:rPr>
                <w:noProof/>
                <w:webHidden/>
              </w:rPr>
              <w:t>8</w:t>
            </w:r>
            <w:r>
              <w:rPr>
                <w:noProof/>
                <w:webHidden/>
              </w:rPr>
              <w:fldChar w:fldCharType="end"/>
            </w:r>
          </w:hyperlink>
        </w:p>
        <w:p w:rsidR="008634C4" w:rsidRDefault="008634C4">
          <w:r>
            <w:rPr>
              <w:b/>
              <w:bCs/>
              <w:noProof/>
            </w:rPr>
            <w:fldChar w:fldCharType="end"/>
          </w:r>
        </w:p>
      </w:sdtContent>
    </w:sdt>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8634C4" w:rsidRDefault="008634C4" w:rsidP="008634C4">
      <w:pPr>
        <w:rPr>
          <w:lang w:val="en-GB"/>
        </w:rPr>
      </w:pPr>
    </w:p>
    <w:p w:rsidR="00B67BC3" w:rsidRDefault="00B67BC3" w:rsidP="00B325E1">
      <w:pPr>
        <w:pStyle w:val="Heading1"/>
        <w:rPr>
          <w:lang w:val="en-GB"/>
        </w:rPr>
      </w:pPr>
      <w:bookmarkStart w:id="0" w:name="_Toc151115340"/>
      <w:r w:rsidRPr="003C726D">
        <w:rPr>
          <w:lang w:val="en-GB"/>
        </w:rPr>
        <w:lastRenderedPageBreak/>
        <w:t>Introduction</w:t>
      </w:r>
      <w:bookmarkEnd w:id="0"/>
    </w:p>
    <w:p w:rsidR="00DF2AFD" w:rsidRPr="00DF2AFD" w:rsidRDefault="00DF2AFD" w:rsidP="00B325E1">
      <w:pPr>
        <w:spacing w:line="360" w:lineRule="auto"/>
        <w:ind w:firstLine="432"/>
        <w:jc w:val="both"/>
        <w:rPr>
          <w:lang w:val="en-GB"/>
        </w:rPr>
      </w:pPr>
      <w:r w:rsidRPr="00DF2AFD">
        <w:rPr>
          <w:lang w:val="en-GB"/>
        </w:rPr>
        <w:t>This study explores the complex link between public awareness and market share index volatility to close a significant knowledge gap in the financial markets. Based on the positivist research philosophy, the study uses closed-ended questionnaires to implement a quantitative methodology. In order to give a thorough understanding of the elements impacting market dynamics, the research examines the effects of public awareness, economic indicators, company performance, market mood, and government policies. These aspects are then tempered by media influence and global economic situations. The idea emphasises the importance of comprehending Market Share Index Fluctuations for theoretical development and real-world financial applications.</w:t>
      </w:r>
      <w:bookmarkStart w:id="1" w:name="_GoBack"/>
      <w:bookmarkEnd w:id="1"/>
    </w:p>
    <w:p w:rsidR="00B67BC3" w:rsidRDefault="00B67BC3" w:rsidP="00B325E1">
      <w:pPr>
        <w:pStyle w:val="Heading1"/>
        <w:rPr>
          <w:lang w:val="en-GB"/>
        </w:rPr>
      </w:pPr>
      <w:bookmarkStart w:id="2" w:name="_Toc151115341"/>
      <w:r w:rsidRPr="003C726D">
        <w:rPr>
          <w:lang w:val="en-GB"/>
        </w:rPr>
        <w:t>Context</w:t>
      </w:r>
      <w:bookmarkEnd w:id="2"/>
    </w:p>
    <w:p w:rsidR="006E14C5" w:rsidRPr="006E14C5" w:rsidRDefault="006E14C5" w:rsidP="00B325E1">
      <w:pPr>
        <w:spacing w:line="360" w:lineRule="auto"/>
        <w:ind w:firstLine="432"/>
        <w:jc w:val="both"/>
        <w:rPr>
          <w:lang w:val="en-GB"/>
        </w:rPr>
      </w:pPr>
      <w:r w:rsidRPr="006E14C5">
        <w:rPr>
          <w:lang w:val="en-GB"/>
        </w:rPr>
        <w:t xml:space="preserve">This study fills a significant knowledge gap regarding the dynamics of financial markets by exploring the complex link between public awareness and the market share index's volatility. The main goal is to provide insightful observations that connect the theoretical and empirical realms, benefiting financial practitioners and scholars. Studies underscore the importance of public awareness in shaping investor conduct and market results. Research by </w:t>
      </w:r>
      <w:proofErr w:type="spellStart"/>
      <w:proofErr w:type="gramStart"/>
      <w:r w:rsidRPr="006E14C5">
        <w:rPr>
          <w:lang w:val="en-GB"/>
        </w:rPr>
        <w:t>Gao</w:t>
      </w:r>
      <w:proofErr w:type="spellEnd"/>
      <w:r w:rsidRPr="006E14C5">
        <w:rPr>
          <w:lang w:val="en-GB"/>
        </w:rPr>
        <w:t xml:space="preserve"> et al</w:t>
      </w:r>
      <w:proofErr w:type="gramEnd"/>
      <w:r w:rsidRPr="006E14C5">
        <w:rPr>
          <w:lang w:val="en-GB"/>
        </w:rPr>
        <w:t>. (2022, p. 8) highlights how investor attitude affects trading choices and shows how market developments, public sentiment, and awareness are related. Furthermore, theories of behavioural finance, most notably the Adaptive Market Hypothesis (Noreen et al., 2022, p. 168), offer a framework for understanding how the information processing of market players impacts market dynamics. Furthermore, the Information Cascades hypothesis, which emphasises the significance of public information in influencing investment decisions, is consistent with public knowledge as a critical factor. Comparable to this, economic indicators are acknowledged as the primary forces behind changes in the market. Conversely, corporate performance is a fundamental component that recognises the influence of individual companies on the dynamics of the market as a whole (Anderson, 2014).</w:t>
      </w:r>
    </w:p>
    <w:p w:rsidR="00D55772" w:rsidRPr="00D55772" w:rsidRDefault="006E14C5" w:rsidP="00B325E1">
      <w:pPr>
        <w:spacing w:line="360" w:lineRule="auto"/>
        <w:ind w:firstLine="432"/>
        <w:jc w:val="both"/>
        <w:rPr>
          <w:lang w:val="en-GB"/>
        </w:rPr>
      </w:pPr>
      <w:r w:rsidRPr="006E14C5">
        <w:rPr>
          <w:lang w:val="en-GB"/>
        </w:rPr>
        <w:t xml:space="preserve">The media's function in distributing financial information and influencing investor attitudes is essential to understand the larger context of market swings further. Based on research by </w:t>
      </w:r>
      <w:proofErr w:type="spellStart"/>
      <w:r w:rsidRPr="006E14C5">
        <w:rPr>
          <w:lang w:val="en-GB"/>
        </w:rPr>
        <w:t>Anastasiia</w:t>
      </w:r>
      <w:proofErr w:type="spellEnd"/>
      <w:r w:rsidRPr="006E14C5">
        <w:rPr>
          <w:lang w:val="en-GB"/>
        </w:rPr>
        <w:t xml:space="preserve"> </w:t>
      </w:r>
      <w:proofErr w:type="spellStart"/>
      <w:r w:rsidRPr="006E14C5">
        <w:rPr>
          <w:lang w:val="en-GB"/>
        </w:rPr>
        <w:t>Kuz</w:t>
      </w:r>
      <w:proofErr w:type="spellEnd"/>
      <w:r w:rsidRPr="006E14C5">
        <w:rPr>
          <w:lang w:val="en-GB"/>
        </w:rPr>
        <w:t xml:space="preserve"> </w:t>
      </w:r>
      <w:proofErr w:type="spellStart"/>
      <w:r w:rsidRPr="006E14C5">
        <w:rPr>
          <w:lang w:val="en-GB"/>
        </w:rPr>
        <w:t>Miskinis</w:t>
      </w:r>
      <w:proofErr w:type="spellEnd"/>
      <w:r w:rsidRPr="006E14C5">
        <w:rPr>
          <w:lang w:val="en-GB"/>
        </w:rPr>
        <w:t xml:space="preserve"> (2021, p.131) (2001), the state of the global economy is a significant moderator, highlighting the interdependence of markets in an international economy. This study </w:t>
      </w:r>
      <w:r w:rsidRPr="006E14C5">
        <w:rPr>
          <w:lang w:val="en-GB"/>
        </w:rPr>
        <w:lastRenderedPageBreak/>
        <w:t>aims to thoroughly understand how public awareness interacts with various elements to impact market share index variations by combining the variables and moderators. The study's multifaceted methodology aligns with how financial research develops and has valuable implications for academics, politicians, and investors.</w:t>
      </w:r>
    </w:p>
    <w:p w:rsidR="00B67BC3" w:rsidRDefault="00B67BC3" w:rsidP="00B325E1">
      <w:pPr>
        <w:pStyle w:val="Heading1"/>
        <w:rPr>
          <w:lang w:val="en-GB"/>
        </w:rPr>
      </w:pPr>
      <w:bookmarkStart w:id="3" w:name="_Toc151115342"/>
      <w:r w:rsidRPr="003C726D">
        <w:rPr>
          <w:lang w:val="en-GB"/>
        </w:rPr>
        <w:t>Literature Review</w:t>
      </w:r>
      <w:bookmarkEnd w:id="3"/>
    </w:p>
    <w:p w:rsidR="00FB06F2" w:rsidRDefault="008D7319" w:rsidP="00B325E1">
      <w:pPr>
        <w:pStyle w:val="Heading2"/>
        <w:spacing w:line="360" w:lineRule="auto"/>
        <w:rPr>
          <w:lang w:val="en-GB"/>
        </w:rPr>
      </w:pPr>
      <w:bookmarkStart w:id="4" w:name="_Toc151115343"/>
      <w:r>
        <w:rPr>
          <w:lang w:val="en-GB"/>
        </w:rPr>
        <w:t>Challenging Aspects of Market Share Index Fluctuations</w:t>
      </w:r>
      <w:bookmarkEnd w:id="4"/>
    </w:p>
    <w:p w:rsidR="00DF10A3" w:rsidRDefault="00DF10A3" w:rsidP="00B325E1">
      <w:pPr>
        <w:spacing w:line="360" w:lineRule="auto"/>
        <w:ind w:firstLine="720"/>
        <w:jc w:val="both"/>
        <w:rPr>
          <w:lang w:val="en-GB"/>
        </w:rPr>
      </w:pPr>
      <w:r w:rsidRPr="00DF10A3">
        <w:rPr>
          <w:lang w:val="en-GB"/>
        </w:rPr>
        <w:t>Since market share index fluctuation is a gauge of financial markets' overall health and dynamics, it presents a significant issue. The index is an essential indicator of market stability because of its continuous oscillation, which captures investor emotion, economic conditions, and company performance. Despite being a natural feature of financial markets, this volatility causes issues since it significantly influences capital flows, investment choices, and economic stability (</w:t>
      </w:r>
      <w:proofErr w:type="spellStart"/>
      <w:r w:rsidRPr="00DF10A3">
        <w:rPr>
          <w:lang w:val="en-GB"/>
        </w:rPr>
        <w:t>Chikwira</w:t>
      </w:r>
      <w:proofErr w:type="spellEnd"/>
      <w:r w:rsidRPr="00DF10A3">
        <w:rPr>
          <w:lang w:val="en-GB"/>
        </w:rPr>
        <w:t xml:space="preserve"> &amp; </w:t>
      </w:r>
      <w:proofErr w:type="spellStart"/>
      <w:r w:rsidRPr="00DF10A3">
        <w:rPr>
          <w:lang w:val="en-GB"/>
        </w:rPr>
        <w:t>Jahed</w:t>
      </w:r>
      <w:proofErr w:type="spellEnd"/>
      <w:r w:rsidRPr="00DF10A3">
        <w:rPr>
          <w:lang w:val="en-GB"/>
        </w:rPr>
        <w:t xml:space="preserve"> Iqbal Mohammed, 2023, p.155). According to James (2018, p. 230), during the 2008 financial crisis, the international market indexes' sharp declines indicated a systemic collapse, which sparked fear and a global economic depression. The issue is worsened by the globalisation of markets, as changes impact both developed and developing nations. To make strategic decisions, investors need stable market circumstances. Excessive volatility can undermine investor confidence and result in inefficient use of resources in the market. Therefore, it is critical to comprehend and reduce Market Share Index Fluctuation in order to maintain economic health and guarantee the stability of financial systems.</w:t>
      </w:r>
    </w:p>
    <w:p w:rsidR="00DF10A3" w:rsidRDefault="00DF10A3" w:rsidP="00B325E1">
      <w:pPr>
        <w:pStyle w:val="Heading2"/>
        <w:spacing w:line="360" w:lineRule="auto"/>
        <w:rPr>
          <w:lang w:val="en-GB"/>
        </w:rPr>
      </w:pPr>
      <w:bookmarkStart w:id="5" w:name="_Toc151115344"/>
      <w:r>
        <w:rPr>
          <w:lang w:val="en-GB"/>
        </w:rPr>
        <w:t>Public Knowledge and Market Sentiments Influence</w:t>
      </w:r>
      <w:bookmarkEnd w:id="5"/>
    </w:p>
    <w:p w:rsidR="00680556" w:rsidRDefault="00A47C06" w:rsidP="00B325E1">
      <w:pPr>
        <w:spacing w:line="360" w:lineRule="auto"/>
        <w:ind w:firstLine="720"/>
        <w:jc w:val="both"/>
        <w:rPr>
          <w:lang w:val="en-GB"/>
        </w:rPr>
      </w:pPr>
      <w:r w:rsidRPr="00A47C06">
        <w:rPr>
          <w:lang w:val="en-GB"/>
        </w:rPr>
        <w:t xml:space="preserve">Market mood and public knowledge significantly impact changes in the Market Share Index; this is a complicated interaction with significant consequences. Studies like Richard Paul Gregory's (2021, p. 100499) confirm that market movements may be driven beyond fundamental values by investor mood, a component of public knowledge. </w:t>
      </w:r>
      <w:proofErr w:type="spellStart"/>
      <w:r w:rsidRPr="00A47C06">
        <w:rPr>
          <w:lang w:val="en-GB"/>
        </w:rPr>
        <w:t>Sajid</w:t>
      </w:r>
      <w:proofErr w:type="spellEnd"/>
      <w:r w:rsidRPr="00A47C06">
        <w:rPr>
          <w:lang w:val="en-GB"/>
        </w:rPr>
        <w:t xml:space="preserve"> et al. (2021, p. 11) examine behavioural biases and information cascades to clarify how public perceptions might increase market volatility. Furthermore, research by Florin Cornel </w:t>
      </w:r>
      <w:proofErr w:type="spellStart"/>
      <w:r w:rsidRPr="00A47C06">
        <w:rPr>
          <w:lang w:val="en-GB"/>
        </w:rPr>
        <w:t>Dumiter</w:t>
      </w:r>
      <w:proofErr w:type="spellEnd"/>
      <w:r w:rsidRPr="00A47C06">
        <w:rPr>
          <w:lang w:val="en-GB"/>
        </w:rPr>
        <w:t xml:space="preserve"> et al. (2023, p. 3128) highlights the media's critical role in influencing market sentiment and how it may aggravate or lessen swings. The instability of market indexes is partly due to investor decisions, which are frequently motivated by emotion rather than reasoned research. Behavioural finance theories offer a theoretical framework for comprehending how people's risk perceptions and decision-</w:t>
      </w:r>
      <w:r w:rsidRPr="00A47C06">
        <w:rPr>
          <w:lang w:val="en-GB"/>
        </w:rPr>
        <w:lastRenderedPageBreak/>
        <w:t>making affect market sentiment; one such theory is the Prospect Theory by Guevara Cortés et al., 2023, p. 121. Events that occurred in real life, like the dot-com boom and the 2008 financial crisis, eloquently demonstrate how sentiment-driven public knowledge can drive speculative bubbles and cause market crashes. Consequently, regulators and investors alike must have a sophisticated grasp of the complicated interplay between public awareness, sentiment, and Market Share Index Fluctuations to devise effective methods for navigating the inherent difficulties of financial markets.</w:t>
      </w:r>
    </w:p>
    <w:p w:rsidR="00A47C06" w:rsidRDefault="00A47C06" w:rsidP="00B325E1">
      <w:pPr>
        <w:pStyle w:val="Heading2"/>
        <w:spacing w:line="360" w:lineRule="auto"/>
        <w:rPr>
          <w:lang w:val="en-GB"/>
        </w:rPr>
      </w:pPr>
      <w:bookmarkStart w:id="6" w:name="_Toc151115345"/>
      <w:r>
        <w:rPr>
          <w:lang w:val="en-GB"/>
        </w:rPr>
        <w:t>Effects of Economic Indicators and Corporate Performance</w:t>
      </w:r>
      <w:bookmarkEnd w:id="6"/>
    </w:p>
    <w:p w:rsidR="00A47C06" w:rsidRDefault="00680EEF" w:rsidP="00B325E1">
      <w:pPr>
        <w:spacing w:line="360" w:lineRule="auto"/>
        <w:ind w:firstLine="720"/>
        <w:jc w:val="both"/>
        <w:rPr>
          <w:lang w:val="en-GB"/>
        </w:rPr>
      </w:pPr>
      <w:r w:rsidRPr="00680EEF">
        <w:rPr>
          <w:lang w:val="en-GB"/>
        </w:rPr>
        <w:t xml:space="preserve">Economic indicators such as GDP and business performance significantly influence fluctuations in the market share index and are crucial factors in the dynamics of the financial markets. Bartholomew </w:t>
      </w:r>
      <w:proofErr w:type="spellStart"/>
      <w:r w:rsidRPr="00680EEF">
        <w:rPr>
          <w:lang w:val="en-GB"/>
        </w:rPr>
        <w:t>Paudyn</w:t>
      </w:r>
      <w:proofErr w:type="spellEnd"/>
      <w:r w:rsidRPr="00680EEF">
        <w:rPr>
          <w:lang w:val="en-GB"/>
        </w:rPr>
        <w:t xml:space="preserve"> (2023) provides empirical data highlighting economic indicators' importance in determining market movements. Strong GDP growth indicates a healthy economy, which frequently translates into an optimistic market mood, whereas contractions may lead to sell-offs and index drops. According to Anna Sofia </w:t>
      </w:r>
      <w:proofErr w:type="spellStart"/>
      <w:r w:rsidRPr="00680EEF">
        <w:rPr>
          <w:lang w:val="en-GB"/>
        </w:rPr>
        <w:t>Atichasari</w:t>
      </w:r>
      <w:proofErr w:type="spellEnd"/>
      <w:r w:rsidRPr="00680EEF">
        <w:rPr>
          <w:lang w:val="en-GB"/>
        </w:rPr>
        <w:t xml:space="preserve"> et al. (2023, 100137), corporate performances are a microcosm of the larger economic environment. The financial stability, profit margins, and earnings reports of publicly traded corporations are essential factors that impact index patterns and investor confidence. For example, markets frequently respond rapidly to business results during earnings seasons, reflecting the immediate impact on share prices and, subsequently, the index as a whole. Examples from the real world, like the 2008 financial crisis, show how economic variables predict market volatility. Market Share Index Fluctuations reflected these economic upheavals when Lehman Brothers fell, the GDP shrank, and company bankruptcies followed (James, 2018, p. 230). Therefore, to effectively navigate the complexities of financial markets, investors and policymakers must possess a thorough awareness of the complex relationships between economic data and market indices.</w:t>
      </w:r>
    </w:p>
    <w:p w:rsidR="00081BC3" w:rsidRDefault="00081BC3" w:rsidP="00B325E1">
      <w:pPr>
        <w:pStyle w:val="Heading2"/>
        <w:spacing w:line="360" w:lineRule="auto"/>
        <w:rPr>
          <w:lang w:val="en-GB"/>
        </w:rPr>
      </w:pPr>
      <w:bookmarkStart w:id="7" w:name="_Toc151115346"/>
      <w:r>
        <w:rPr>
          <w:lang w:val="en-GB"/>
        </w:rPr>
        <w:t>Government Policies and Market Mediators</w:t>
      </w:r>
      <w:bookmarkEnd w:id="7"/>
    </w:p>
    <w:p w:rsidR="00D112E9" w:rsidRPr="00D112E9" w:rsidRDefault="005F27BF" w:rsidP="00B325E1">
      <w:pPr>
        <w:spacing w:line="360" w:lineRule="auto"/>
        <w:ind w:firstLine="432"/>
        <w:jc w:val="both"/>
        <w:rPr>
          <w:lang w:val="en-GB"/>
        </w:rPr>
      </w:pPr>
      <w:r w:rsidRPr="005F27BF">
        <w:rPr>
          <w:lang w:val="en-GB"/>
        </w:rPr>
        <w:t xml:space="preserve">Market share index fluctuations are significantly impacted by government policies, which are empirically supported to play a crucial role in determining market dynamics. Research like </w:t>
      </w:r>
      <w:proofErr w:type="spellStart"/>
      <w:r w:rsidRPr="005F27BF">
        <w:rPr>
          <w:lang w:val="en-GB"/>
        </w:rPr>
        <w:t>Zaremba</w:t>
      </w:r>
      <w:proofErr w:type="spellEnd"/>
      <w:r w:rsidRPr="005F27BF">
        <w:rPr>
          <w:lang w:val="en-GB"/>
        </w:rPr>
        <w:t xml:space="preserve"> et al. (2020, p. 101597) highlights how monetary and fiscal policies affect investor behaviour and market results. Changes in policy, including adjustments to interest rates or regulations, can cause substantial reactions in the market, demonstrating the direct relationship </w:t>
      </w:r>
      <w:r w:rsidRPr="005F27BF">
        <w:rPr>
          <w:lang w:val="en-GB"/>
        </w:rPr>
        <w:lastRenderedPageBreak/>
        <w:t xml:space="preserve">between government actions and index values. Global economic conditions and media influence appear as important mediating factors of these oscillations simultaneously. Research emphasises the media's ability to shape public perception and market sentiment, as demonstrated by Liao (2023, p. 621). Furthermore, according to </w:t>
      </w:r>
      <w:proofErr w:type="spellStart"/>
      <w:r w:rsidRPr="005F27BF">
        <w:rPr>
          <w:lang w:val="en-GB"/>
        </w:rPr>
        <w:t>Mamman</w:t>
      </w:r>
      <w:proofErr w:type="spellEnd"/>
      <w:r w:rsidRPr="005F27BF">
        <w:rPr>
          <w:lang w:val="en-GB"/>
        </w:rPr>
        <w:t xml:space="preserve"> et al. (2023, p. 103877), the state of the world economy modifies or amplifies the effect of government actions on market indices. Because markets are interconnected in a globalised economy, it is essential for investors and policymakers navigating unstable financial environments to have a nuanced understanding of how media and global economic factors mediate the relationship between government policies and Market Share Index Fluctuations.</w:t>
      </w:r>
    </w:p>
    <w:p w:rsidR="00B67BC3" w:rsidRDefault="00B67BC3" w:rsidP="00B325E1">
      <w:pPr>
        <w:pStyle w:val="Heading1"/>
        <w:rPr>
          <w:lang w:val="en-GB"/>
        </w:rPr>
      </w:pPr>
      <w:bookmarkStart w:id="8" w:name="_Toc151115347"/>
      <w:r w:rsidRPr="003C726D">
        <w:rPr>
          <w:lang w:val="en-GB"/>
        </w:rPr>
        <w:t>Research Objectives and Questions</w:t>
      </w:r>
      <w:bookmarkEnd w:id="8"/>
    </w:p>
    <w:p w:rsidR="00EE1217" w:rsidRDefault="00EE1217" w:rsidP="00B325E1">
      <w:pPr>
        <w:pStyle w:val="Heading2"/>
        <w:spacing w:line="360" w:lineRule="auto"/>
        <w:rPr>
          <w:lang w:val="en-GB"/>
        </w:rPr>
      </w:pPr>
      <w:bookmarkStart w:id="9" w:name="_Toc151115348"/>
      <w:r>
        <w:rPr>
          <w:lang w:val="en-GB"/>
        </w:rPr>
        <w:t>Question</w:t>
      </w:r>
      <w:bookmarkEnd w:id="9"/>
    </w:p>
    <w:p w:rsidR="00EE1217" w:rsidRDefault="00EE1217" w:rsidP="00B325E1">
      <w:pPr>
        <w:spacing w:line="360" w:lineRule="auto"/>
        <w:ind w:firstLine="432"/>
        <w:jc w:val="both"/>
        <w:rPr>
          <w:lang w:val="en-GB"/>
        </w:rPr>
      </w:pPr>
      <w:r w:rsidRPr="00EE1217">
        <w:rPr>
          <w:lang w:val="en-GB"/>
        </w:rPr>
        <w:t>How does the market share index fluctuate due to the interaction of public awareness, economic indicators, company performance, market mood, and government policies, all tempered by media impact and global economic conditions?</w:t>
      </w:r>
    </w:p>
    <w:p w:rsidR="004775FD" w:rsidRDefault="004775FD" w:rsidP="00B325E1">
      <w:pPr>
        <w:pStyle w:val="Heading2"/>
        <w:spacing w:line="360" w:lineRule="auto"/>
        <w:rPr>
          <w:lang w:val="en-GB"/>
        </w:rPr>
      </w:pPr>
      <w:bookmarkStart w:id="10" w:name="_Toc151115349"/>
      <w:r>
        <w:rPr>
          <w:lang w:val="en-GB"/>
        </w:rPr>
        <w:t>Objectives</w:t>
      </w:r>
      <w:bookmarkEnd w:id="10"/>
    </w:p>
    <w:p w:rsidR="00FD5CE2" w:rsidRPr="00FD5CE2" w:rsidRDefault="00FD5CE2" w:rsidP="00B325E1">
      <w:pPr>
        <w:pStyle w:val="ListParagraph"/>
        <w:numPr>
          <w:ilvl w:val="0"/>
          <w:numId w:val="11"/>
        </w:numPr>
        <w:spacing w:line="360" w:lineRule="auto"/>
        <w:jc w:val="both"/>
        <w:rPr>
          <w:lang w:val="en-GB"/>
        </w:rPr>
      </w:pPr>
      <w:r w:rsidRPr="00FD5CE2">
        <w:rPr>
          <w:lang w:val="en-GB"/>
        </w:rPr>
        <w:t>Examine the direct effect of public awareness on the variation of the market share index.</w:t>
      </w:r>
    </w:p>
    <w:p w:rsidR="00FD5CE2" w:rsidRPr="00FD5CE2" w:rsidRDefault="00FD5CE2" w:rsidP="00B325E1">
      <w:pPr>
        <w:pStyle w:val="ListParagraph"/>
        <w:numPr>
          <w:ilvl w:val="0"/>
          <w:numId w:val="11"/>
        </w:numPr>
        <w:spacing w:line="360" w:lineRule="auto"/>
        <w:jc w:val="both"/>
        <w:rPr>
          <w:lang w:val="en-GB"/>
        </w:rPr>
      </w:pPr>
      <w:r w:rsidRPr="00FD5CE2">
        <w:rPr>
          <w:lang w:val="en-GB"/>
        </w:rPr>
        <w:t>Analyse the correlation between changes in the market share index and economic indices such as GDP growth, inflation, and unemployment.</w:t>
      </w:r>
    </w:p>
    <w:p w:rsidR="00FD5CE2" w:rsidRPr="00FD5CE2" w:rsidRDefault="00FD5CE2" w:rsidP="00B325E1">
      <w:pPr>
        <w:pStyle w:val="ListParagraph"/>
        <w:numPr>
          <w:ilvl w:val="0"/>
          <w:numId w:val="11"/>
        </w:numPr>
        <w:spacing w:line="360" w:lineRule="auto"/>
        <w:jc w:val="both"/>
        <w:rPr>
          <w:lang w:val="en-GB"/>
        </w:rPr>
      </w:pPr>
      <w:r w:rsidRPr="00FD5CE2">
        <w:rPr>
          <w:lang w:val="en-GB"/>
        </w:rPr>
        <w:t>Analyse the impact of company performance on changes in the market share index.</w:t>
      </w:r>
    </w:p>
    <w:p w:rsidR="00FD5CE2" w:rsidRPr="00FD5CE2" w:rsidRDefault="00FD5CE2" w:rsidP="00B325E1">
      <w:pPr>
        <w:pStyle w:val="ListParagraph"/>
        <w:numPr>
          <w:ilvl w:val="0"/>
          <w:numId w:val="11"/>
        </w:numPr>
        <w:spacing w:line="360" w:lineRule="auto"/>
        <w:jc w:val="both"/>
        <w:rPr>
          <w:lang w:val="en-GB"/>
        </w:rPr>
      </w:pPr>
      <w:r w:rsidRPr="00FD5CE2">
        <w:rPr>
          <w:lang w:val="en-GB"/>
        </w:rPr>
        <w:t>Examine how the market share index dynamics are influenced by the market sentiment, as determined by surveys and sentiment research.</w:t>
      </w:r>
    </w:p>
    <w:p w:rsidR="00EE1217" w:rsidRPr="00FD5CE2" w:rsidRDefault="00FD5CE2" w:rsidP="00B325E1">
      <w:pPr>
        <w:pStyle w:val="ListParagraph"/>
        <w:numPr>
          <w:ilvl w:val="0"/>
          <w:numId w:val="11"/>
        </w:numPr>
        <w:spacing w:line="360" w:lineRule="auto"/>
        <w:jc w:val="both"/>
        <w:rPr>
          <w:lang w:val="en-GB"/>
        </w:rPr>
      </w:pPr>
      <w:r w:rsidRPr="00FD5CE2">
        <w:rPr>
          <w:lang w:val="en-GB"/>
        </w:rPr>
        <w:t>Examine how legislative and regulatory actions affect the market share index as you analyse how government policies affect it.</w:t>
      </w:r>
    </w:p>
    <w:p w:rsidR="00B67BC3" w:rsidRPr="003C726D" w:rsidRDefault="00B67BC3" w:rsidP="00B325E1">
      <w:pPr>
        <w:pStyle w:val="Heading1"/>
        <w:rPr>
          <w:lang w:val="en-GB"/>
        </w:rPr>
      </w:pPr>
      <w:bookmarkStart w:id="11" w:name="_Toc151115350"/>
      <w:r w:rsidRPr="003C726D">
        <w:rPr>
          <w:lang w:val="en-GB"/>
        </w:rPr>
        <w:t>Methodology</w:t>
      </w:r>
      <w:bookmarkEnd w:id="11"/>
      <w:r w:rsidRPr="003C726D">
        <w:rPr>
          <w:lang w:val="en-GB"/>
        </w:rPr>
        <w:t xml:space="preserve"> </w:t>
      </w:r>
    </w:p>
    <w:p w:rsidR="003E3847" w:rsidRPr="003E3847" w:rsidRDefault="006A39F3" w:rsidP="00B325E1">
      <w:pPr>
        <w:spacing w:line="360" w:lineRule="auto"/>
        <w:ind w:firstLine="432"/>
        <w:jc w:val="both"/>
        <w:rPr>
          <w:lang w:val="en-GB"/>
        </w:rPr>
      </w:pPr>
      <w:r w:rsidRPr="006A39F3">
        <w:rPr>
          <w:lang w:val="en-GB"/>
        </w:rPr>
        <w:t>A quantitative methodology utilizing survey methodologies will be employed in the specific research study, aligning with the chosen positivist research philosophy. Positivism emphasizes objectively assessing observable phenomena, harmonizing with the study's quantitative variables (</w:t>
      </w:r>
      <w:proofErr w:type="spellStart"/>
      <w:r w:rsidRPr="006A39F3">
        <w:rPr>
          <w:lang w:val="en-GB"/>
        </w:rPr>
        <w:t>Jelena</w:t>
      </w:r>
      <w:proofErr w:type="spellEnd"/>
      <w:r w:rsidRPr="006A39F3">
        <w:rPr>
          <w:lang w:val="en-GB"/>
        </w:rPr>
        <w:t xml:space="preserve"> et al., 2023). Employing a close-ended survey approach facilitates the collection of numerical data from a substantial sample size, simplifying subsequent statistical analyses to </w:t>
      </w:r>
      <w:r w:rsidRPr="006A39F3">
        <w:rPr>
          <w:lang w:val="en-GB"/>
        </w:rPr>
        <w:lastRenderedPageBreak/>
        <w:t>discern trends and correlations among variables (</w:t>
      </w:r>
      <w:proofErr w:type="spellStart"/>
      <w:r w:rsidRPr="006A39F3">
        <w:rPr>
          <w:lang w:val="en-GB"/>
        </w:rPr>
        <w:t>Mumtaz</w:t>
      </w:r>
      <w:proofErr w:type="spellEnd"/>
      <w:r w:rsidRPr="006A39F3">
        <w:rPr>
          <w:lang w:val="en-GB"/>
        </w:rPr>
        <w:t xml:space="preserve"> et al., 2020). The survey method ensures a comprehensive and organized exploration of the impact of Public Knowledge, Economic Indicators, Corporate Performance, Market Sentiment, and Government Policies on the Market Share Index Fluctuation dependent variable. This methodological choice supports the positivist philosophy by emphasizing empirical evidence and quantitative analysis, contributing to a rigorous examination of the factors influencing market dynamics in a structured and systematic manner.</w:t>
      </w:r>
    </w:p>
    <w:p w:rsidR="00395D9F" w:rsidRPr="003E3847" w:rsidRDefault="00395D9F" w:rsidP="00B325E1">
      <w:pPr>
        <w:spacing w:line="360" w:lineRule="auto"/>
        <w:rPr>
          <w:lang w:val="en-GB"/>
        </w:rPr>
      </w:pPr>
    </w:p>
    <w:p w:rsidR="003E3847" w:rsidRPr="003E3847" w:rsidRDefault="003E3847" w:rsidP="00B325E1">
      <w:pPr>
        <w:spacing w:line="360" w:lineRule="auto"/>
        <w:rPr>
          <w:lang w:val="en-GB"/>
        </w:rPr>
      </w:pPr>
    </w:p>
    <w:p w:rsidR="003E3847" w:rsidRPr="003E3847" w:rsidRDefault="003E3847" w:rsidP="00B325E1">
      <w:pPr>
        <w:spacing w:line="360" w:lineRule="auto"/>
        <w:rPr>
          <w:lang w:val="en-GB"/>
        </w:rPr>
      </w:pPr>
    </w:p>
    <w:p w:rsidR="00500357" w:rsidRDefault="00500357"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spacing w:line="360" w:lineRule="auto"/>
        <w:rPr>
          <w:lang w:val="en-GB"/>
        </w:rPr>
      </w:pPr>
    </w:p>
    <w:p w:rsidR="00B325E1" w:rsidRDefault="00B325E1" w:rsidP="00B325E1">
      <w:pPr>
        <w:pStyle w:val="Heading1"/>
        <w:numPr>
          <w:ilvl w:val="0"/>
          <w:numId w:val="0"/>
        </w:numPr>
        <w:ind w:left="432"/>
        <w:rPr>
          <w:lang w:val="en-GB"/>
        </w:rPr>
      </w:pPr>
      <w:bookmarkStart w:id="12" w:name="_Toc151115351"/>
      <w:r>
        <w:rPr>
          <w:lang w:val="en-GB"/>
        </w:rPr>
        <w:lastRenderedPageBreak/>
        <w:t>References</w:t>
      </w:r>
      <w:bookmarkEnd w:id="12"/>
    </w:p>
    <w:p w:rsidR="00F2253C" w:rsidRPr="00691C66" w:rsidRDefault="00F2253C" w:rsidP="00F2253C">
      <w:pPr>
        <w:spacing w:before="100" w:beforeAutospacing="1" w:after="100" w:afterAutospacing="1" w:line="240" w:lineRule="auto"/>
        <w:ind w:left="720" w:hanging="720"/>
        <w:jc w:val="both"/>
        <w:rPr>
          <w:rFonts w:eastAsia="Times New Roman" w:cs="Times New Roman"/>
          <w:color w:val="000000"/>
          <w:szCs w:val="24"/>
        </w:rPr>
      </w:pPr>
      <w:proofErr w:type="spellStart"/>
      <w:proofErr w:type="gramStart"/>
      <w:r w:rsidRPr="00596A75">
        <w:t>Anastasiia</w:t>
      </w:r>
      <w:proofErr w:type="spellEnd"/>
      <w:r w:rsidRPr="00596A75">
        <w:t xml:space="preserve"> </w:t>
      </w:r>
      <w:proofErr w:type="spellStart"/>
      <w:r w:rsidRPr="00596A75">
        <w:t>Kuz</w:t>
      </w:r>
      <w:proofErr w:type="spellEnd"/>
      <w:r w:rsidRPr="00596A75">
        <w:t xml:space="preserve">, &amp; </w:t>
      </w:r>
      <w:proofErr w:type="spellStart"/>
      <w:r w:rsidRPr="00596A75">
        <w:t>Miskinis</w:t>
      </w:r>
      <w:proofErr w:type="spellEnd"/>
      <w:r w:rsidRPr="00596A75">
        <w:t>, A. (2021).</w:t>
      </w:r>
      <w:proofErr w:type="gramEnd"/>
      <w:r w:rsidRPr="00596A75">
        <w:t xml:space="preserve"> </w:t>
      </w:r>
      <w:proofErr w:type="gramStart"/>
      <w:r w:rsidRPr="00596A75">
        <w:t>The Impact of Globalization on European Airline Market.</w:t>
      </w:r>
      <w:proofErr w:type="gramEnd"/>
      <w:r w:rsidRPr="00596A75">
        <w:t> </w:t>
      </w:r>
      <w:proofErr w:type="spellStart"/>
      <w:r w:rsidRPr="00596A75">
        <w:rPr>
          <w:i/>
          <w:iCs/>
        </w:rPr>
        <w:t>Ekonomika</w:t>
      </w:r>
      <w:proofErr w:type="spellEnd"/>
      <w:r w:rsidRPr="00596A75">
        <w:t>, </w:t>
      </w:r>
      <w:r w:rsidRPr="00596A75">
        <w:rPr>
          <w:i/>
          <w:iCs/>
        </w:rPr>
        <w:t>100</w:t>
      </w:r>
      <w:r w:rsidRPr="00596A75">
        <w:t xml:space="preserve">(1), 117–138. </w:t>
      </w:r>
      <w:hyperlink r:id="rId10" w:history="1">
        <w:r w:rsidRPr="004B643C">
          <w:rPr>
            <w:rStyle w:val="Hyperlink"/>
          </w:rPr>
          <w:t>https://www.redalyc.org/journal/6922/692272863007/html/</w:t>
        </w:r>
      </w:hyperlink>
    </w:p>
    <w:p w:rsidR="00F2253C" w:rsidRDefault="00F2253C" w:rsidP="00F2253C">
      <w:pPr>
        <w:ind w:left="720" w:hanging="720"/>
        <w:jc w:val="both"/>
      </w:pPr>
      <w:r w:rsidRPr="00596A75">
        <w:t xml:space="preserve">Anderson, N. (2014). Innovation and Creativity in Organizations: A State-of-the-Science Review, Prospective Commentary, and Guiding Framework - Neil Anderson, Kristina </w:t>
      </w:r>
      <w:proofErr w:type="spellStart"/>
      <w:r w:rsidRPr="00596A75">
        <w:t>Potočnik</w:t>
      </w:r>
      <w:proofErr w:type="spellEnd"/>
      <w:r w:rsidRPr="00596A75">
        <w:t xml:space="preserve">, Jing Zhou, 2014. </w:t>
      </w:r>
      <w:proofErr w:type="gramStart"/>
      <w:r w:rsidRPr="00596A75">
        <w:t>Journal of Management.</w:t>
      </w:r>
      <w:proofErr w:type="gramEnd"/>
      <w:r w:rsidRPr="00596A75">
        <w:t xml:space="preserve"> </w:t>
      </w:r>
      <w:hyperlink r:id="rId11" w:history="1">
        <w:r w:rsidRPr="004B643C">
          <w:rPr>
            <w:rStyle w:val="Hyperlink"/>
          </w:rPr>
          <w:t>https://journals.sagepub.com/doi/10.1177/0149206314527128</w:t>
        </w:r>
      </w:hyperlink>
    </w:p>
    <w:p w:rsidR="00F2253C" w:rsidRDefault="00F2253C" w:rsidP="00F2253C">
      <w:pPr>
        <w:ind w:left="720" w:hanging="720"/>
        <w:jc w:val="both"/>
      </w:pPr>
      <w:r w:rsidRPr="00E03BF7">
        <w:t xml:space="preserve">Anna Sofia </w:t>
      </w:r>
      <w:proofErr w:type="spellStart"/>
      <w:r w:rsidRPr="00E03BF7">
        <w:t>Atichasari</w:t>
      </w:r>
      <w:proofErr w:type="spellEnd"/>
      <w:r w:rsidRPr="00E03BF7">
        <w:t xml:space="preserve">, </w:t>
      </w:r>
      <w:proofErr w:type="spellStart"/>
      <w:r w:rsidRPr="00E03BF7">
        <w:t>Aisyah</w:t>
      </w:r>
      <w:proofErr w:type="spellEnd"/>
      <w:r w:rsidRPr="00E03BF7">
        <w:t xml:space="preserve"> </w:t>
      </w:r>
      <w:proofErr w:type="spellStart"/>
      <w:r w:rsidRPr="00E03BF7">
        <w:t>Ratnasari</w:t>
      </w:r>
      <w:proofErr w:type="spellEnd"/>
      <w:r w:rsidRPr="00E03BF7">
        <w:t xml:space="preserve">, </w:t>
      </w:r>
      <w:proofErr w:type="spellStart"/>
      <w:r w:rsidRPr="00E03BF7">
        <w:t>Umi</w:t>
      </w:r>
      <w:proofErr w:type="spellEnd"/>
      <w:r w:rsidRPr="00E03BF7">
        <w:t xml:space="preserve"> </w:t>
      </w:r>
      <w:proofErr w:type="spellStart"/>
      <w:r w:rsidRPr="00E03BF7">
        <w:t>Kulsum</w:t>
      </w:r>
      <w:proofErr w:type="spellEnd"/>
      <w:r w:rsidRPr="00E03BF7">
        <w:t xml:space="preserve">, </w:t>
      </w:r>
      <w:proofErr w:type="spellStart"/>
      <w:r w:rsidRPr="00E03BF7">
        <w:t>Heri</w:t>
      </w:r>
      <w:proofErr w:type="spellEnd"/>
      <w:r w:rsidRPr="00E03BF7">
        <w:t xml:space="preserve"> </w:t>
      </w:r>
      <w:proofErr w:type="spellStart"/>
      <w:r w:rsidRPr="00E03BF7">
        <w:t>Sapari</w:t>
      </w:r>
      <w:proofErr w:type="spellEnd"/>
      <w:r w:rsidRPr="00E03BF7">
        <w:t xml:space="preserve"> </w:t>
      </w:r>
      <w:proofErr w:type="spellStart"/>
      <w:r w:rsidRPr="00E03BF7">
        <w:t>Kahpi</w:t>
      </w:r>
      <w:proofErr w:type="spellEnd"/>
      <w:r w:rsidRPr="00E03BF7">
        <w:t xml:space="preserve">, </w:t>
      </w:r>
      <w:proofErr w:type="spellStart"/>
      <w:r w:rsidRPr="00E03BF7">
        <w:t>Suci</w:t>
      </w:r>
      <w:proofErr w:type="spellEnd"/>
      <w:r w:rsidRPr="00E03BF7">
        <w:t xml:space="preserve"> </w:t>
      </w:r>
      <w:proofErr w:type="spellStart"/>
      <w:r w:rsidRPr="00E03BF7">
        <w:t>Wulandari</w:t>
      </w:r>
      <w:proofErr w:type="spellEnd"/>
      <w:r w:rsidRPr="00E03BF7">
        <w:t xml:space="preserve">, &amp; </w:t>
      </w:r>
      <w:proofErr w:type="spellStart"/>
      <w:r w:rsidRPr="00E03BF7">
        <w:t>Asep</w:t>
      </w:r>
      <w:proofErr w:type="spellEnd"/>
      <w:r w:rsidRPr="00E03BF7">
        <w:t xml:space="preserve"> </w:t>
      </w:r>
      <w:proofErr w:type="spellStart"/>
      <w:r w:rsidRPr="00E03BF7">
        <w:t>Marfu</w:t>
      </w:r>
      <w:proofErr w:type="spellEnd"/>
      <w:r w:rsidRPr="00E03BF7">
        <w:t>. (2023). Examining Non-Performing Loans on Corporate Financial Sustainability: Evidence from Indonesia. </w:t>
      </w:r>
      <w:r w:rsidRPr="00E03BF7">
        <w:rPr>
          <w:i/>
          <w:iCs/>
        </w:rPr>
        <w:t>Sustainable Futures</w:t>
      </w:r>
      <w:r w:rsidRPr="00E03BF7">
        <w:t>, </w:t>
      </w:r>
      <w:r w:rsidRPr="00E03BF7">
        <w:rPr>
          <w:i/>
          <w:iCs/>
        </w:rPr>
        <w:t>6</w:t>
      </w:r>
      <w:r w:rsidRPr="00E03BF7">
        <w:t xml:space="preserve">, 100137–100137. </w:t>
      </w:r>
      <w:hyperlink r:id="rId12" w:history="1">
        <w:r w:rsidRPr="004B643C">
          <w:rPr>
            <w:rStyle w:val="Hyperlink"/>
          </w:rPr>
          <w:t>https://doi.org/10.1016/j.sftr.2023.100137</w:t>
        </w:r>
      </w:hyperlink>
    </w:p>
    <w:p w:rsidR="00F2253C" w:rsidRDefault="00F2253C" w:rsidP="00F2253C">
      <w:pPr>
        <w:ind w:left="720" w:hanging="720"/>
        <w:jc w:val="both"/>
      </w:pPr>
      <w:r w:rsidRPr="005328A0">
        <w:t xml:space="preserve">Bartholomew </w:t>
      </w:r>
      <w:proofErr w:type="spellStart"/>
      <w:r w:rsidRPr="005328A0">
        <w:t>Paudyn</w:t>
      </w:r>
      <w:proofErr w:type="spellEnd"/>
      <w:r w:rsidRPr="005328A0">
        <w:t>. (2023). </w:t>
      </w:r>
      <w:proofErr w:type="gramStart"/>
      <w:r w:rsidRPr="005328A0">
        <w:t>Financially</w:t>
      </w:r>
      <w:proofErr w:type="gramEnd"/>
      <w:r w:rsidRPr="005328A0">
        <w:t xml:space="preserve"> engineering a “self-generative” political economy of creditworthiness: </w:t>
      </w:r>
      <w:proofErr w:type="spellStart"/>
      <w:r w:rsidRPr="005328A0">
        <w:t>Expertocratic</w:t>
      </w:r>
      <w:proofErr w:type="spellEnd"/>
      <w:r w:rsidRPr="005328A0">
        <w:t xml:space="preserve"> exemption problems for sustainable debt and democracy - Bartholomew </w:t>
      </w:r>
      <w:proofErr w:type="spellStart"/>
      <w:r w:rsidRPr="005328A0">
        <w:t>Paudyn</w:t>
      </w:r>
      <w:proofErr w:type="spellEnd"/>
      <w:r w:rsidRPr="005328A0">
        <w:t xml:space="preserve">, 2023. </w:t>
      </w:r>
      <w:proofErr w:type="gramStart"/>
      <w:r w:rsidRPr="005328A0">
        <w:t>Competition &amp; Change.</w:t>
      </w:r>
      <w:proofErr w:type="gramEnd"/>
      <w:r w:rsidRPr="005328A0">
        <w:t xml:space="preserve"> </w:t>
      </w:r>
      <w:hyperlink r:id="rId13" w:history="1">
        <w:r w:rsidRPr="004B643C">
          <w:rPr>
            <w:rStyle w:val="Hyperlink"/>
          </w:rPr>
          <w:t>https://journals.sagepub.com/doi/abs/10.1177/10245294221105567</w:t>
        </w:r>
      </w:hyperlink>
    </w:p>
    <w:p w:rsidR="00F2253C" w:rsidRDefault="00F2253C" w:rsidP="00F2253C">
      <w:pPr>
        <w:ind w:left="720" w:hanging="720"/>
        <w:jc w:val="both"/>
      </w:pPr>
      <w:proofErr w:type="spellStart"/>
      <w:proofErr w:type="gramStart"/>
      <w:r w:rsidRPr="0036083F">
        <w:t>Chikwira</w:t>
      </w:r>
      <w:proofErr w:type="spellEnd"/>
      <w:r w:rsidRPr="0036083F">
        <w:t xml:space="preserve">, C., &amp; </w:t>
      </w:r>
      <w:proofErr w:type="spellStart"/>
      <w:r w:rsidRPr="0036083F">
        <w:t>Jahed</w:t>
      </w:r>
      <w:proofErr w:type="spellEnd"/>
      <w:r w:rsidRPr="0036083F">
        <w:t xml:space="preserve"> Iqbal Mohammed.</w:t>
      </w:r>
      <w:proofErr w:type="gramEnd"/>
      <w:r w:rsidRPr="0036083F">
        <w:t xml:space="preserve"> (2023). </w:t>
      </w:r>
      <w:proofErr w:type="gramStart"/>
      <w:r w:rsidRPr="0036083F">
        <w:t>The</w:t>
      </w:r>
      <w:proofErr w:type="gramEnd"/>
      <w:r w:rsidRPr="0036083F">
        <w:t xml:space="preserve"> Impact of the Stock Market on Liquidity and Economic Growth: Evidence of Volatile Market. </w:t>
      </w:r>
      <w:proofErr w:type="gramStart"/>
      <w:r w:rsidRPr="0036083F">
        <w:rPr>
          <w:i/>
          <w:iCs/>
        </w:rPr>
        <w:t>Economies</w:t>
      </w:r>
      <w:r w:rsidRPr="0036083F">
        <w:t>, </w:t>
      </w:r>
      <w:r w:rsidRPr="0036083F">
        <w:rPr>
          <w:i/>
          <w:iCs/>
        </w:rPr>
        <w:t>11</w:t>
      </w:r>
      <w:r w:rsidRPr="0036083F">
        <w:t>(6), 155–155.</w:t>
      </w:r>
      <w:proofErr w:type="gramEnd"/>
      <w:r w:rsidRPr="0036083F">
        <w:t xml:space="preserve"> </w:t>
      </w:r>
      <w:hyperlink r:id="rId14" w:history="1">
        <w:r w:rsidRPr="004B643C">
          <w:rPr>
            <w:rStyle w:val="Hyperlink"/>
          </w:rPr>
          <w:t>https://doi.org/10.3390/economies11060155</w:t>
        </w:r>
      </w:hyperlink>
    </w:p>
    <w:p w:rsidR="00F2253C" w:rsidRDefault="00F2253C" w:rsidP="00F2253C">
      <w:pPr>
        <w:ind w:left="720" w:hanging="720"/>
        <w:jc w:val="both"/>
      </w:pPr>
      <w:r w:rsidRPr="00805DF6">
        <w:t xml:space="preserve">Florin Cornel </w:t>
      </w:r>
      <w:proofErr w:type="spellStart"/>
      <w:r w:rsidRPr="00805DF6">
        <w:t>Dumiter</w:t>
      </w:r>
      <w:proofErr w:type="spellEnd"/>
      <w:r w:rsidRPr="00805DF6">
        <w:t xml:space="preserve">, Florin Marius </w:t>
      </w:r>
      <w:proofErr w:type="spellStart"/>
      <w:r w:rsidRPr="00805DF6">
        <w:t>Turcaș</w:t>
      </w:r>
      <w:proofErr w:type="spellEnd"/>
      <w:r w:rsidRPr="00805DF6">
        <w:t xml:space="preserve">, </w:t>
      </w:r>
      <w:proofErr w:type="spellStart"/>
      <w:r w:rsidRPr="00805DF6">
        <w:t>Ștefania</w:t>
      </w:r>
      <w:proofErr w:type="spellEnd"/>
      <w:r w:rsidRPr="00805DF6">
        <w:t xml:space="preserve"> </w:t>
      </w:r>
      <w:proofErr w:type="spellStart"/>
      <w:r w:rsidRPr="00805DF6">
        <w:t>Amalia</w:t>
      </w:r>
      <w:proofErr w:type="spellEnd"/>
      <w:r w:rsidRPr="00805DF6">
        <w:t xml:space="preserve"> </w:t>
      </w:r>
      <w:proofErr w:type="spellStart"/>
      <w:r w:rsidRPr="00805DF6">
        <w:t>Nicoară</w:t>
      </w:r>
      <w:proofErr w:type="spellEnd"/>
      <w:r w:rsidRPr="00805DF6">
        <w:t xml:space="preserve">, </w:t>
      </w:r>
      <w:proofErr w:type="spellStart"/>
      <w:r w:rsidRPr="00805DF6">
        <w:t>Cristian</w:t>
      </w:r>
      <w:proofErr w:type="spellEnd"/>
      <w:r w:rsidRPr="00805DF6">
        <w:t xml:space="preserve"> </w:t>
      </w:r>
      <w:proofErr w:type="spellStart"/>
      <w:r w:rsidRPr="00805DF6">
        <w:t>Benţe</w:t>
      </w:r>
      <w:proofErr w:type="spellEnd"/>
      <w:r w:rsidRPr="00805DF6">
        <w:t xml:space="preserve">, &amp; Marius </w:t>
      </w:r>
      <w:proofErr w:type="spellStart"/>
      <w:r w:rsidRPr="00805DF6">
        <w:t>Boiță</w:t>
      </w:r>
      <w:proofErr w:type="spellEnd"/>
      <w:r w:rsidRPr="00805DF6">
        <w:t>. (2023). The Impact of Sentiment Indices on the Stock Exchange—</w:t>
      </w:r>
      <w:proofErr w:type="gramStart"/>
      <w:r w:rsidRPr="00805DF6">
        <w:t>The</w:t>
      </w:r>
      <w:proofErr w:type="gramEnd"/>
      <w:r w:rsidRPr="00805DF6">
        <w:t xml:space="preserve"> Connections between Quantitative Sentiment Indicators, Technical Analysis, and Stock Market. </w:t>
      </w:r>
      <w:proofErr w:type="gramStart"/>
      <w:r w:rsidRPr="00805DF6">
        <w:rPr>
          <w:i/>
          <w:iCs/>
        </w:rPr>
        <w:t>Mathematics</w:t>
      </w:r>
      <w:r w:rsidRPr="00805DF6">
        <w:t>, </w:t>
      </w:r>
      <w:r w:rsidRPr="00805DF6">
        <w:rPr>
          <w:i/>
          <w:iCs/>
        </w:rPr>
        <w:t>11</w:t>
      </w:r>
      <w:r w:rsidRPr="00805DF6">
        <w:t>(14), 3128–3128.</w:t>
      </w:r>
      <w:proofErr w:type="gramEnd"/>
      <w:r w:rsidRPr="00805DF6">
        <w:t xml:space="preserve"> </w:t>
      </w:r>
      <w:hyperlink r:id="rId15" w:history="1">
        <w:r w:rsidRPr="004B643C">
          <w:rPr>
            <w:rStyle w:val="Hyperlink"/>
          </w:rPr>
          <w:t>https://doi.org/10.3390/math11143128</w:t>
        </w:r>
      </w:hyperlink>
    </w:p>
    <w:p w:rsidR="00F2253C" w:rsidRPr="00596A75" w:rsidRDefault="00F2253C" w:rsidP="00F2253C">
      <w:pPr>
        <w:ind w:left="720" w:hanging="720"/>
        <w:jc w:val="both"/>
      </w:pPr>
      <w:proofErr w:type="spellStart"/>
      <w:proofErr w:type="gramStart"/>
      <w:r w:rsidRPr="00596A75">
        <w:t>Gao</w:t>
      </w:r>
      <w:proofErr w:type="spellEnd"/>
      <w:proofErr w:type="gramEnd"/>
      <w:r w:rsidRPr="00596A75">
        <w:t>, Y., Zhao, C., Sun, B., &amp; Zhao, W. (2022). Effects of investor sentiment on stock volatility: new evidences from multi-source data in China’s green stock markets. </w:t>
      </w:r>
      <w:proofErr w:type="gramStart"/>
      <w:r w:rsidRPr="00596A75">
        <w:rPr>
          <w:i/>
          <w:iCs/>
        </w:rPr>
        <w:t>Financial Innovation</w:t>
      </w:r>
      <w:r w:rsidRPr="00596A75">
        <w:t>, </w:t>
      </w:r>
      <w:r w:rsidRPr="00596A75">
        <w:rPr>
          <w:i/>
          <w:iCs/>
        </w:rPr>
        <w:t>8</w:t>
      </w:r>
      <w:r w:rsidRPr="00596A75">
        <w:t>(1).</w:t>
      </w:r>
      <w:proofErr w:type="gramEnd"/>
      <w:r w:rsidRPr="00596A75">
        <w:t xml:space="preserve"> https://doi.org/10.1186/s40854-022-00381-2</w:t>
      </w:r>
    </w:p>
    <w:p w:rsidR="00F2253C" w:rsidRDefault="00F2253C" w:rsidP="00F2253C">
      <w:pPr>
        <w:ind w:left="720" w:hanging="720"/>
        <w:jc w:val="both"/>
        <w:rPr>
          <w:shd w:val="clear" w:color="auto" w:fill="FFFFFF"/>
        </w:rPr>
      </w:pPr>
      <w:r>
        <w:rPr>
          <w:shd w:val="clear" w:color="auto" w:fill="FFFFFF"/>
        </w:rPr>
        <w:t xml:space="preserve">James, H. (2018). </w:t>
      </w:r>
      <w:proofErr w:type="spellStart"/>
      <w:r>
        <w:rPr>
          <w:shd w:val="clear" w:color="auto" w:fill="FFFFFF"/>
        </w:rPr>
        <w:t>Deglobalization</w:t>
      </w:r>
      <w:proofErr w:type="spellEnd"/>
      <w:r>
        <w:rPr>
          <w:shd w:val="clear" w:color="auto" w:fill="FFFFFF"/>
        </w:rPr>
        <w:t xml:space="preserve">: The rise of </w:t>
      </w:r>
      <w:proofErr w:type="spellStart"/>
      <w:r>
        <w:rPr>
          <w:shd w:val="clear" w:color="auto" w:fill="FFFFFF"/>
        </w:rPr>
        <w:t>disembedded</w:t>
      </w:r>
      <w:proofErr w:type="spellEnd"/>
      <w:r>
        <w:rPr>
          <w:shd w:val="clear" w:color="auto" w:fill="FFFFFF"/>
        </w:rPr>
        <w:t xml:space="preserve"> unilateralism. </w:t>
      </w:r>
      <w:r>
        <w:rPr>
          <w:i/>
          <w:iCs/>
          <w:shd w:val="clear" w:color="auto" w:fill="FFFFFF"/>
        </w:rPr>
        <w:t>Annual Review of Financial Economics</w:t>
      </w:r>
      <w:r>
        <w:rPr>
          <w:shd w:val="clear" w:color="auto" w:fill="FFFFFF"/>
        </w:rPr>
        <w:t>, </w:t>
      </w:r>
      <w:r>
        <w:rPr>
          <w:i/>
          <w:iCs/>
          <w:shd w:val="clear" w:color="auto" w:fill="FFFFFF"/>
        </w:rPr>
        <w:t>10</w:t>
      </w:r>
      <w:r>
        <w:rPr>
          <w:shd w:val="clear" w:color="auto" w:fill="FFFFFF"/>
        </w:rPr>
        <w:t xml:space="preserve">, 219-237. </w:t>
      </w:r>
      <w:hyperlink r:id="rId16" w:history="1">
        <w:r w:rsidRPr="004B643C">
          <w:rPr>
            <w:rStyle w:val="Hyperlink"/>
            <w:shd w:val="clear" w:color="auto" w:fill="FFFFFF"/>
          </w:rPr>
          <w:t>https://doi.org/10.1146/annurev-financial-110217-022625</w:t>
        </w:r>
      </w:hyperlink>
    </w:p>
    <w:p w:rsidR="00F2253C" w:rsidRDefault="00F2253C" w:rsidP="00F2253C">
      <w:pPr>
        <w:ind w:left="720" w:hanging="720"/>
        <w:jc w:val="both"/>
      </w:pPr>
      <w:proofErr w:type="spellStart"/>
      <w:r w:rsidRPr="00691C66">
        <w:t>Jelena</w:t>
      </w:r>
      <w:proofErr w:type="spellEnd"/>
      <w:r w:rsidRPr="00691C66">
        <w:t xml:space="preserve"> </w:t>
      </w:r>
      <w:proofErr w:type="spellStart"/>
      <w:proofErr w:type="gramStart"/>
      <w:r w:rsidRPr="00691C66">
        <w:t>Maksimović</w:t>
      </w:r>
      <w:proofErr w:type="spellEnd"/>
      <w:r w:rsidRPr="00691C66">
        <w:t>,</w:t>
      </w:r>
      <w:proofErr w:type="gramEnd"/>
      <w:r w:rsidRPr="00691C66">
        <w:t xml:space="preserve"> &amp; </w:t>
      </w:r>
      <w:proofErr w:type="spellStart"/>
      <w:r w:rsidRPr="00691C66">
        <w:t>Jelena</w:t>
      </w:r>
      <w:proofErr w:type="spellEnd"/>
      <w:r w:rsidRPr="00691C66">
        <w:t xml:space="preserve"> </w:t>
      </w:r>
      <w:proofErr w:type="spellStart"/>
      <w:r w:rsidRPr="00691C66">
        <w:t>Evtimov</w:t>
      </w:r>
      <w:proofErr w:type="spellEnd"/>
      <w:r w:rsidRPr="00691C66">
        <w:t xml:space="preserve">. </w:t>
      </w:r>
      <w:proofErr w:type="gramStart"/>
      <w:r w:rsidRPr="00691C66">
        <w:t>(2023). </w:t>
      </w:r>
      <w:r w:rsidRPr="00691C66">
        <w:rPr>
          <w:i/>
          <w:iCs/>
        </w:rPr>
        <w:t>Positivism and post-positivism as the basis of quantitative research in pedagogy</w:t>
      </w:r>
      <w:r w:rsidRPr="00691C66">
        <w:t>.</w:t>
      </w:r>
      <w:proofErr w:type="gramEnd"/>
      <w:r w:rsidRPr="00691C66">
        <w:t xml:space="preserve"> </w:t>
      </w:r>
      <w:proofErr w:type="spellStart"/>
      <w:r w:rsidRPr="00691C66">
        <w:t>ResearchGate</w:t>
      </w:r>
      <w:proofErr w:type="spellEnd"/>
      <w:r w:rsidRPr="00691C66">
        <w:t xml:space="preserve">; Centre for Evaluation in Education and Science. </w:t>
      </w:r>
      <w:hyperlink r:id="rId17" w:history="1">
        <w:r w:rsidRPr="004B643C">
          <w:rPr>
            <w:rStyle w:val="Hyperlink"/>
          </w:rPr>
          <w:t>https://www.researchgate.net/publication/372214584_Positivism_and_post-positivism_as_the_basis_of_quantitative_research_in_pedagogy</w:t>
        </w:r>
      </w:hyperlink>
    </w:p>
    <w:p w:rsidR="00F2253C" w:rsidRDefault="00F2253C" w:rsidP="00F2253C">
      <w:pPr>
        <w:ind w:left="720" w:hanging="720"/>
        <w:jc w:val="both"/>
      </w:pPr>
      <w:proofErr w:type="spellStart"/>
      <w:r w:rsidRPr="00805DF6">
        <w:t>Ladrón</w:t>
      </w:r>
      <w:proofErr w:type="spellEnd"/>
      <w:r w:rsidRPr="00805DF6">
        <w:t xml:space="preserve"> de Guevara Cortés, R., </w:t>
      </w:r>
      <w:proofErr w:type="spellStart"/>
      <w:r w:rsidRPr="00805DF6">
        <w:t>Tolosa</w:t>
      </w:r>
      <w:proofErr w:type="spellEnd"/>
      <w:r w:rsidRPr="00805DF6">
        <w:t xml:space="preserve">, L.E. </w:t>
      </w:r>
      <w:r>
        <w:t>&amp;</w:t>
      </w:r>
      <w:r w:rsidRPr="00805DF6">
        <w:t xml:space="preserve"> </w:t>
      </w:r>
      <w:proofErr w:type="spellStart"/>
      <w:r w:rsidRPr="00805DF6">
        <w:t>Rojo</w:t>
      </w:r>
      <w:proofErr w:type="spellEnd"/>
      <w:r w:rsidRPr="00805DF6">
        <w:t xml:space="preserve">, M.P. (2023), "Prospect theory in the financial decision-making process: an empirical study of two Argentine universities", Journal of Economics, Finance and Administrative Science, Vol. 28 No. 55, pp. 116-133. </w:t>
      </w:r>
      <w:hyperlink r:id="rId18" w:history="1">
        <w:r w:rsidRPr="004B643C">
          <w:rPr>
            <w:rStyle w:val="Hyperlink"/>
          </w:rPr>
          <w:t>https://doi.org/10.1108/JEFAS-12-2021-0272</w:t>
        </w:r>
      </w:hyperlink>
    </w:p>
    <w:p w:rsidR="00F2253C" w:rsidRDefault="00F2253C" w:rsidP="00F2253C">
      <w:pPr>
        <w:ind w:left="720" w:hanging="720"/>
        <w:jc w:val="both"/>
      </w:pPr>
      <w:proofErr w:type="gramStart"/>
      <w:r w:rsidRPr="00E03BF7">
        <w:lastRenderedPageBreak/>
        <w:t>Liao, C.-H.</w:t>
      </w:r>
      <w:proofErr w:type="gramEnd"/>
      <w:r w:rsidRPr="00E03BF7">
        <w:t xml:space="preserve"> (2023). Exploring the Influence of Public Perception of Mass Media Usage and Attitudes towards Mass Media News on Altruistic Behavior. </w:t>
      </w:r>
      <w:proofErr w:type="gramStart"/>
      <w:r w:rsidRPr="00E03BF7">
        <w:rPr>
          <w:i/>
          <w:iCs/>
        </w:rPr>
        <w:t>Behavioral Sciences</w:t>
      </w:r>
      <w:r w:rsidRPr="00E03BF7">
        <w:t>, </w:t>
      </w:r>
      <w:r w:rsidRPr="00E03BF7">
        <w:rPr>
          <w:i/>
          <w:iCs/>
        </w:rPr>
        <w:t>13</w:t>
      </w:r>
      <w:r w:rsidRPr="00E03BF7">
        <w:t>(8), 621–621.</w:t>
      </w:r>
      <w:proofErr w:type="gramEnd"/>
      <w:r w:rsidRPr="00E03BF7">
        <w:t xml:space="preserve"> </w:t>
      </w:r>
      <w:hyperlink r:id="rId19" w:history="1">
        <w:r w:rsidRPr="004B643C">
          <w:rPr>
            <w:rStyle w:val="Hyperlink"/>
          </w:rPr>
          <w:t>https://doi.org/10.3390/bs13080621</w:t>
        </w:r>
      </w:hyperlink>
    </w:p>
    <w:p w:rsidR="00F2253C" w:rsidRDefault="00F2253C" w:rsidP="00F2253C">
      <w:pPr>
        <w:ind w:left="720" w:hanging="720"/>
        <w:jc w:val="both"/>
      </w:pPr>
      <w:proofErr w:type="spellStart"/>
      <w:proofErr w:type="gramStart"/>
      <w:r w:rsidRPr="00E03BF7">
        <w:t>Mamman</w:t>
      </w:r>
      <w:proofErr w:type="spellEnd"/>
      <w:r w:rsidRPr="00E03BF7">
        <w:t xml:space="preserve">, S. O., Wang </w:t>
      </w:r>
      <w:proofErr w:type="spellStart"/>
      <w:r w:rsidRPr="00E03BF7">
        <w:t>Zhanqin</w:t>
      </w:r>
      <w:proofErr w:type="spellEnd"/>
      <w:r w:rsidRPr="00E03BF7">
        <w:t xml:space="preserve">, &amp; </w:t>
      </w:r>
      <w:proofErr w:type="spellStart"/>
      <w:r w:rsidRPr="00E03BF7">
        <w:t>Jamilu</w:t>
      </w:r>
      <w:proofErr w:type="spellEnd"/>
      <w:r w:rsidRPr="00E03BF7">
        <w:t xml:space="preserve"> </w:t>
      </w:r>
      <w:proofErr w:type="spellStart"/>
      <w:r w:rsidRPr="00E03BF7">
        <w:t>Iliyasu</w:t>
      </w:r>
      <w:proofErr w:type="spellEnd"/>
      <w:r w:rsidRPr="00E03BF7">
        <w:t>.</w:t>
      </w:r>
      <w:proofErr w:type="gramEnd"/>
      <w:r w:rsidRPr="00E03BF7">
        <w:t xml:space="preserve"> (2023). Commonality in BRICS stock markets’ reaction to global economic policy uncertainty: Evidence from a panel GARCH model with cross sectional dependence. </w:t>
      </w:r>
      <w:r w:rsidRPr="00E03BF7">
        <w:rPr>
          <w:i/>
          <w:iCs/>
        </w:rPr>
        <w:t>Finance Research Letters</w:t>
      </w:r>
      <w:r w:rsidRPr="00E03BF7">
        <w:t>, </w:t>
      </w:r>
      <w:r w:rsidRPr="00E03BF7">
        <w:rPr>
          <w:i/>
          <w:iCs/>
        </w:rPr>
        <w:t>55</w:t>
      </w:r>
      <w:r w:rsidRPr="00E03BF7">
        <w:t xml:space="preserve">, 103877–103877. </w:t>
      </w:r>
      <w:hyperlink r:id="rId20" w:history="1">
        <w:r w:rsidRPr="004B643C">
          <w:rPr>
            <w:rStyle w:val="Hyperlink"/>
          </w:rPr>
          <w:t>https://doi.org/10.1016/j.frl.2023.103877</w:t>
        </w:r>
      </w:hyperlink>
    </w:p>
    <w:p w:rsidR="00F2253C" w:rsidRPr="00691C66" w:rsidRDefault="00F2253C" w:rsidP="00F2253C">
      <w:pPr>
        <w:ind w:left="720" w:hanging="720"/>
        <w:jc w:val="both"/>
      </w:pPr>
      <w:proofErr w:type="spellStart"/>
      <w:proofErr w:type="gramStart"/>
      <w:r w:rsidRPr="00691C66">
        <w:t>Mumtaz</w:t>
      </w:r>
      <w:proofErr w:type="spellEnd"/>
      <w:r w:rsidRPr="00691C66">
        <w:t xml:space="preserve"> Ali </w:t>
      </w:r>
      <w:proofErr w:type="spellStart"/>
      <w:r w:rsidRPr="00691C66">
        <w:t>Memon</w:t>
      </w:r>
      <w:proofErr w:type="spellEnd"/>
      <w:r w:rsidRPr="00691C66">
        <w:t xml:space="preserve">, Ting, H., </w:t>
      </w:r>
      <w:proofErr w:type="spellStart"/>
      <w:r w:rsidRPr="00691C66">
        <w:t>Cheah</w:t>
      </w:r>
      <w:proofErr w:type="spellEnd"/>
      <w:r w:rsidRPr="00691C66">
        <w:t xml:space="preserve"> Jun </w:t>
      </w:r>
      <w:proofErr w:type="spellStart"/>
      <w:r w:rsidRPr="00691C66">
        <w:t>Hwa</w:t>
      </w:r>
      <w:proofErr w:type="spellEnd"/>
      <w:r w:rsidRPr="00691C66">
        <w:t>, &amp; Cham, T.-H.</w:t>
      </w:r>
      <w:proofErr w:type="gramEnd"/>
      <w:r w:rsidRPr="00691C66">
        <w:t xml:space="preserve"> (2020, June 30). </w:t>
      </w:r>
      <w:r w:rsidRPr="00691C66">
        <w:rPr>
          <w:i/>
          <w:iCs/>
        </w:rPr>
        <w:t>Sample Size for Survey Research: Review and Recommendations</w:t>
      </w:r>
      <w:r w:rsidRPr="00691C66">
        <w:t xml:space="preserve">. </w:t>
      </w:r>
      <w:proofErr w:type="spellStart"/>
      <w:proofErr w:type="gramStart"/>
      <w:r w:rsidRPr="00691C66">
        <w:t>ResearchGate</w:t>
      </w:r>
      <w:proofErr w:type="spellEnd"/>
      <w:r w:rsidRPr="00691C66">
        <w:t>; Sarawak Research Society.</w:t>
      </w:r>
      <w:proofErr w:type="gramEnd"/>
      <w:r w:rsidRPr="00691C66">
        <w:t xml:space="preserve"> https://www.researchgate.net/publication/343303677_Sample_Size_for_Survey_Research_Review_and_Recommendations</w:t>
      </w:r>
    </w:p>
    <w:p w:rsidR="00F2253C" w:rsidRDefault="00F2253C" w:rsidP="00F2253C">
      <w:pPr>
        <w:ind w:left="720" w:hanging="720"/>
        <w:jc w:val="both"/>
      </w:pPr>
      <w:proofErr w:type="gramStart"/>
      <w:r w:rsidRPr="00596A75">
        <w:t xml:space="preserve">Noreen, U., </w:t>
      </w:r>
      <w:proofErr w:type="spellStart"/>
      <w:r w:rsidRPr="00596A75">
        <w:t>Shafique</w:t>
      </w:r>
      <w:proofErr w:type="spellEnd"/>
      <w:r w:rsidRPr="00596A75">
        <w:t xml:space="preserve">, A., </w:t>
      </w:r>
      <w:proofErr w:type="spellStart"/>
      <w:r w:rsidRPr="00596A75">
        <w:t>Ayub</w:t>
      </w:r>
      <w:proofErr w:type="spellEnd"/>
      <w:r w:rsidRPr="00596A75">
        <w:t xml:space="preserve">, U., &amp; Syed </w:t>
      </w:r>
      <w:proofErr w:type="spellStart"/>
      <w:r w:rsidRPr="00596A75">
        <w:t>Kashif</w:t>
      </w:r>
      <w:proofErr w:type="spellEnd"/>
      <w:r w:rsidRPr="00596A75">
        <w:t xml:space="preserve"> </w:t>
      </w:r>
      <w:proofErr w:type="spellStart"/>
      <w:r w:rsidRPr="00596A75">
        <w:t>Saeed</w:t>
      </w:r>
      <w:proofErr w:type="spellEnd"/>
      <w:r w:rsidRPr="00596A75">
        <w:t>.</w:t>
      </w:r>
      <w:proofErr w:type="gramEnd"/>
      <w:r w:rsidRPr="00596A75">
        <w:t xml:space="preserve"> (2022). Does the Adaptive Market Hypothesis Reconcile the Behavioral Finance and the Efficient Market Hypothesis? </w:t>
      </w:r>
      <w:proofErr w:type="gramStart"/>
      <w:r w:rsidRPr="00596A75">
        <w:rPr>
          <w:i/>
          <w:iCs/>
        </w:rPr>
        <w:t>Risks</w:t>
      </w:r>
      <w:r w:rsidRPr="00596A75">
        <w:t>, </w:t>
      </w:r>
      <w:r w:rsidRPr="00596A75">
        <w:rPr>
          <w:i/>
          <w:iCs/>
        </w:rPr>
        <w:t>10</w:t>
      </w:r>
      <w:r w:rsidRPr="00596A75">
        <w:t>(9), 168–168.</w:t>
      </w:r>
      <w:proofErr w:type="gramEnd"/>
      <w:r w:rsidRPr="00596A75">
        <w:t xml:space="preserve"> </w:t>
      </w:r>
      <w:hyperlink r:id="rId21" w:history="1">
        <w:r w:rsidRPr="004B643C">
          <w:rPr>
            <w:rStyle w:val="Hyperlink"/>
          </w:rPr>
          <w:t>https://doi.org/10.3390/risks10090168</w:t>
        </w:r>
      </w:hyperlink>
    </w:p>
    <w:p w:rsidR="00F2253C" w:rsidRDefault="00F2253C" w:rsidP="00F2253C">
      <w:pPr>
        <w:ind w:left="720" w:hanging="720"/>
        <w:jc w:val="both"/>
      </w:pPr>
      <w:r w:rsidRPr="00805DF6">
        <w:t xml:space="preserve">Richard Paul Gregory. (2021). </w:t>
      </w:r>
      <w:proofErr w:type="gramStart"/>
      <w:r w:rsidRPr="00805DF6">
        <w:t>What</w:t>
      </w:r>
      <w:proofErr w:type="gramEnd"/>
      <w:r w:rsidRPr="00805DF6">
        <w:t xml:space="preserve"> determines Manager and Investor Sentiment? </w:t>
      </w:r>
      <w:r w:rsidRPr="00805DF6">
        <w:rPr>
          <w:i/>
          <w:iCs/>
        </w:rPr>
        <w:t>Journal of Behavioral and Experimental Finance</w:t>
      </w:r>
      <w:r w:rsidRPr="00805DF6">
        <w:t>, </w:t>
      </w:r>
      <w:r w:rsidRPr="00805DF6">
        <w:rPr>
          <w:i/>
          <w:iCs/>
        </w:rPr>
        <w:t>30</w:t>
      </w:r>
      <w:r w:rsidRPr="00805DF6">
        <w:t xml:space="preserve">, 100499–100499. </w:t>
      </w:r>
      <w:hyperlink r:id="rId22" w:history="1">
        <w:r w:rsidRPr="004B643C">
          <w:rPr>
            <w:rStyle w:val="Hyperlink"/>
          </w:rPr>
          <w:t>https://doi.org/10.1016/j.jbef.2021.100499</w:t>
        </w:r>
      </w:hyperlink>
    </w:p>
    <w:p w:rsidR="00F2253C" w:rsidRDefault="00F2253C" w:rsidP="00F2253C">
      <w:pPr>
        <w:ind w:left="720" w:hanging="720"/>
        <w:jc w:val="both"/>
      </w:pPr>
      <w:proofErr w:type="spellStart"/>
      <w:proofErr w:type="gramStart"/>
      <w:r w:rsidRPr="00805DF6">
        <w:t>Sajid</w:t>
      </w:r>
      <w:proofErr w:type="spellEnd"/>
      <w:r w:rsidRPr="00805DF6">
        <w:t xml:space="preserve">, </w:t>
      </w:r>
      <w:proofErr w:type="spellStart"/>
      <w:r w:rsidRPr="00805DF6">
        <w:t>Shabra</w:t>
      </w:r>
      <w:proofErr w:type="spellEnd"/>
      <w:r w:rsidRPr="00805DF6">
        <w:t xml:space="preserve"> Khalid </w:t>
      </w:r>
      <w:proofErr w:type="spellStart"/>
      <w:r w:rsidRPr="00805DF6">
        <w:t>Mehmood</w:t>
      </w:r>
      <w:proofErr w:type="spellEnd"/>
      <w:r w:rsidRPr="00805DF6">
        <w:t xml:space="preserve">, </w:t>
      </w:r>
      <w:proofErr w:type="spellStart"/>
      <w:r w:rsidRPr="00805DF6">
        <w:t>Shahzad</w:t>
      </w:r>
      <w:proofErr w:type="spellEnd"/>
      <w:r w:rsidRPr="00805DF6">
        <w:t xml:space="preserve">, A., Ahmad, I., </w:t>
      </w:r>
      <w:proofErr w:type="spellStart"/>
      <w:r w:rsidRPr="00805DF6">
        <w:t>Davidyants</w:t>
      </w:r>
      <w:proofErr w:type="spellEnd"/>
      <w:r w:rsidRPr="00805DF6">
        <w:t xml:space="preserve">, A., &amp; </w:t>
      </w:r>
      <w:proofErr w:type="spellStart"/>
      <w:r w:rsidRPr="00805DF6">
        <w:t>Ayman</w:t>
      </w:r>
      <w:proofErr w:type="spellEnd"/>
      <w:r w:rsidRPr="00805DF6">
        <w:t xml:space="preserve"> Abu-</w:t>
      </w:r>
      <w:proofErr w:type="spellStart"/>
      <w:r w:rsidRPr="00805DF6">
        <w:t>Rumman</w:t>
      </w:r>
      <w:proofErr w:type="spellEnd"/>
      <w:r w:rsidRPr="00805DF6">
        <w:t>.</w:t>
      </w:r>
      <w:proofErr w:type="gramEnd"/>
      <w:r w:rsidRPr="00805DF6">
        <w:t xml:space="preserve"> </w:t>
      </w:r>
      <w:proofErr w:type="gramStart"/>
      <w:r w:rsidRPr="00805DF6">
        <w:t>(2021). The Impact of Behavioral Biases on Herding Behavior of Investors in Islamic Financial Products.</w:t>
      </w:r>
      <w:proofErr w:type="gramEnd"/>
      <w:r w:rsidRPr="00805DF6">
        <w:t> </w:t>
      </w:r>
      <w:proofErr w:type="gramStart"/>
      <w:r w:rsidRPr="00805DF6">
        <w:rPr>
          <w:i/>
          <w:iCs/>
        </w:rPr>
        <w:t>Frontiers in Psychology</w:t>
      </w:r>
      <w:r w:rsidRPr="00805DF6">
        <w:t>, </w:t>
      </w:r>
      <w:r w:rsidRPr="00805DF6">
        <w:rPr>
          <w:i/>
          <w:iCs/>
        </w:rPr>
        <w:t>11</w:t>
      </w:r>
      <w:r w:rsidRPr="00805DF6">
        <w:t>.</w:t>
      </w:r>
      <w:proofErr w:type="gramEnd"/>
      <w:r w:rsidRPr="00805DF6">
        <w:t xml:space="preserve"> </w:t>
      </w:r>
      <w:hyperlink r:id="rId23" w:history="1">
        <w:r w:rsidRPr="004B643C">
          <w:rPr>
            <w:rStyle w:val="Hyperlink"/>
          </w:rPr>
          <w:t>https://doi.org/10.3389/fpsyg.2020.600570</w:t>
        </w:r>
      </w:hyperlink>
    </w:p>
    <w:p w:rsidR="00F2253C" w:rsidRDefault="00F2253C" w:rsidP="00F2253C">
      <w:pPr>
        <w:ind w:left="720" w:hanging="720"/>
        <w:jc w:val="both"/>
      </w:pPr>
      <w:proofErr w:type="spellStart"/>
      <w:r w:rsidRPr="00E03BF7">
        <w:t>Zaremba</w:t>
      </w:r>
      <w:proofErr w:type="spellEnd"/>
      <w:r w:rsidRPr="00E03BF7">
        <w:t xml:space="preserve">, A., </w:t>
      </w:r>
      <w:proofErr w:type="spellStart"/>
      <w:r w:rsidRPr="00E03BF7">
        <w:t>Renatas</w:t>
      </w:r>
      <w:proofErr w:type="spellEnd"/>
      <w:r w:rsidRPr="00E03BF7">
        <w:t xml:space="preserve"> </w:t>
      </w:r>
      <w:proofErr w:type="spellStart"/>
      <w:r w:rsidRPr="00E03BF7">
        <w:t>Kizys</w:t>
      </w:r>
      <w:proofErr w:type="spellEnd"/>
      <w:r w:rsidRPr="00E03BF7">
        <w:t xml:space="preserve">, </w:t>
      </w:r>
      <w:proofErr w:type="spellStart"/>
      <w:r w:rsidRPr="00E03BF7">
        <w:t>Aharon</w:t>
      </w:r>
      <w:proofErr w:type="spellEnd"/>
      <w:r w:rsidRPr="00E03BF7">
        <w:t xml:space="preserve">, D. Y., &amp; </w:t>
      </w:r>
      <w:proofErr w:type="spellStart"/>
      <w:r w:rsidRPr="00E03BF7">
        <w:t>Demir</w:t>
      </w:r>
      <w:proofErr w:type="spellEnd"/>
      <w:r w:rsidRPr="00E03BF7">
        <w:t>, E. (2020). Infected Markets: Novel Coronavirus, Government Interventions, and Stock Return Volatility around the Globe. </w:t>
      </w:r>
      <w:r w:rsidRPr="00E03BF7">
        <w:rPr>
          <w:i/>
          <w:iCs/>
        </w:rPr>
        <w:t>Finance Research Letters</w:t>
      </w:r>
      <w:r w:rsidRPr="00E03BF7">
        <w:t>, </w:t>
      </w:r>
      <w:r w:rsidRPr="00E03BF7">
        <w:rPr>
          <w:i/>
          <w:iCs/>
        </w:rPr>
        <w:t>35</w:t>
      </w:r>
      <w:r w:rsidRPr="00E03BF7">
        <w:t xml:space="preserve">, 101597–101597. </w:t>
      </w:r>
      <w:hyperlink r:id="rId24" w:history="1">
        <w:r w:rsidRPr="004B643C">
          <w:rPr>
            <w:rStyle w:val="Hyperlink"/>
          </w:rPr>
          <w:t>https://doi.org/10.1016/j.frl.2020.101597</w:t>
        </w:r>
      </w:hyperlink>
    </w:p>
    <w:p w:rsidR="00B325E1" w:rsidRPr="00B325E1" w:rsidRDefault="00B325E1" w:rsidP="00B325E1">
      <w:pPr>
        <w:rPr>
          <w:lang w:val="en-GB"/>
        </w:rPr>
      </w:pPr>
    </w:p>
    <w:p w:rsidR="00500357" w:rsidRDefault="00500357" w:rsidP="00B325E1">
      <w:pPr>
        <w:spacing w:line="360" w:lineRule="auto"/>
        <w:rPr>
          <w:lang w:val="en-GB"/>
        </w:rPr>
      </w:pPr>
    </w:p>
    <w:p w:rsidR="007C7CE4" w:rsidRDefault="007C7CE4" w:rsidP="00B325E1">
      <w:pPr>
        <w:spacing w:line="360" w:lineRule="auto"/>
        <w:rPr>
          <w:lang w:val="en-GB"/>
        </w:rPr>
      </w:pPr>
    </w:p>
    <w:p w:rsidR="007C7CE4" w:rsidRDefault="007C7CE4" w:rsidP="00B325E1">
      <w:pPr>
        <w:spacing w:line="360" w:lineRule="auto"/>
        <w:rPr>
          <w:lang w:val="en-GB"/>
        </w:rPr>
      </w:pPr>
    </w:p>
    <w:p w:rsidR="007C7CE4" w:rsidRDefault="007C7CE4" w:rsidP="00B325E1">
      <w:pPr>
        <w:spacing w:line="360" w:lineRule="auto"/>
        <w:rPr>
          <w:lang w:val="en-GB"/>
        </w:rPr>
      </w:pPr>
    </w:p>
    <w:p w:rsidR="007C7CE4" w:rsidRDefault="007C7CE4" w:rsidP="00B325E1">
      <w:pPr>
        <w:spacing w:line="360" w:lineRule="auto"/>
        <w:rPr>
          <w:lang w:val="en-GB"/>
        </w:rPr>
      </w:pPr>
    </w:p>
    <w:p w:rsidR="007C7CE4" w:rsidRDefault="007C7CE4" w:rsidP="00B325E1">
      <w:pPr>
        <w:spacing w:line="360" w:lineRule="auto"/>
        <w:rPr>
          <w:lang w:val="en-GB"/>
        </w:rPr>
      </w:pPr>
    </w:p>
    <w:p w:rsidR="007C7CE4" w:rsidRDefault="007C7CE4" w:rsidP="007C7CE4">
      <w:pPr>
        <w:pStyle w:val="Heading1"/>
        <w:numPr>
          <w:ilvl w:val="0"/>
          <w:numId w:val="0"/>
        </w:numPr>
        <w:ind w:left="432"/>
        <w:rPr>
          <w:lang w:val="en-GB"/>
        </w:rPr>
      </w:pPr>
      <w:bookmarkStart w:id="13" w:name="_Toc151115352"/>
      <w:r>
        <w:rPr>
          <w:lang w:val="en-GB"/>
        </w:rPr>
        <w:lastRenderedPageBreak/>
        <w:t>Appendices</w:t>
      </w:r>
      <w:bookmarkEnd w:id="13"/>
    </w:p>
    <w:p w:rsidR="007C7CE4" w:rsidRDefault="007C7CE4" w:rsidP="007C7CE4">
      <w:pPr>
        <w:pStyle w:val="Heading2"/>
        <w:numPr>
          <w:ilvl w:val="0"/>
          <w:numId w:val="0"/>
        </w:numPr>
        <w:ind w:left="1296"/>
        <w:rPr>
          <w:lang w:val="en-GB"/>
        </w:rPr>
      </w:pPr>
      <w:bookmarkStart w:id="14" w:name="_Toc151115353"/>
      <w:r>
        <w:rPr>
          <w:lang w:val="en-GB"/>
        </w:rPr>
        <w:t>Appendix 1- Gantt chart for Project Timeline</w:t>
      </w:r>
      <w:bookmarkEnd w:id="14"/>
    </w:p>
    <w:tbl>
      <w:tblPr>
        <w:tblStyle w:val="LightShading-Accent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39"/>
        <w:gridCol w:w="1340"/>
        <w:gridCol w:w="1340"/>
        <w:gridCol w:w="1341"/>
        <w:gridCol w:w="1272"/>
        <w:gridCol w:w="1274"/>
      </w:tblGrid>
      <w:tr w:rsidR="007C7CE4" w:rsidTr="007C7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pPr>
              <w:jc w:val="center"/>
            </w:pPr>
            <w:r>
              <w:t>Weeks</w:t>
            </w:r>
          </w:p>
        </w:tc>
        <w:tc>
          <w:tcPr>
            <w:tcW w:w="1364" w:type="dxa"/>
            <w:tcBorders>
              <w:top w:val="single" w:sz="4" w:space="0" w:color="auto"/>
              <w:left w:val="single" w:sz="4" w:space="0" w:color="auto"/>
              <w:bottom w:val="single" w:sz="4" w:space="0" w:color="auto"/>
              <w:right w:val="single" w:sz="4" w:space="0" w:color="auto"/>
            </w:tcBorders>
            <w:hideMark/>
          </w:tcPr>
          <w:p w:rsidR="007C7CE4" w:rsidRDefault="007C7CE4">
            <w:pPr>
              <w:jc w:val="center"/>
              <w:cnfStyle w:val="100000000000" w:firstRow="1" w:lastRow="0" w:firstColumn="0" w:lastColumn="0" w:oddVBand="0" w:evenVBand="0" w:oddHBand="0" w:evenHBand="0" w:firstRowFirstColumn="0" w:firstRowLastColumn="0" w:lastRowFirstColumn="0" w:lastRowLastColumn="0"/>
            </w:pPr>
            <w:r>
              <w:t>1-2</w:t>
            </w:r>
          </w:p>
        </w:tc>
        <w:tc>
          <w:tcPr>
            <w:tcW w:w="1364" w:type="dxa"/>
            <w:tcBorders>
              <w:top w:val="single" w:sz="4" w:space="0" w:color="auto"/>
              <w:left w:val="single" w:sz="4" w:space="0" w:color="auto"/>
              <w:bottom w:val="single" w:sz="4" w:space="0" w:color="auto"/>
              <w:right w:val="single" w:sz="4" w:space="0" w:color="auto"/>
            </w:tcBorders>
            <w:hideMark/>
          </w:tcPr>
          <w:p w:rsidR="007C7CE4" w:rsidRDefault="007C7CE4">
            <w:pPr>
              <w:jc w:val="center"/>
              <w:cnfStyle w:val="100000000000" w:firstRow="1" w:lastRow="0" w:firstColumn="0" w:lastColumn="0" w:oddVBand="0" w:evenVBand="0" w:oddHBand="0" w:evenHBand="0" w:firstRowFirstColumn="0" w:firstRowLastColumn="0" w:lastRowFirstColumn="0" w:lastRowLastColumn="0"/>
            </w:pPr>
            <w:r>
              <w:t>2-4</w:t>
            </w:r>
          </w:p>
        </w:tc>
        <w:tc>
          <w:tcPr>
            <w:tcW w:w="1364" w:type="dxa"/>
            <w:tcBorders>
              <w:top w:val="single" w:sz="4" w:space="0" w:color="auto"/>
              <w:left w:val="single" w:sz="4" w:space="0" w:color="auto"/>
              <w:bottom w:val="single" w:sz="4" w:space="0" w:color="auto"/>
              <w:right w:val="single" w:sz="4" w:space="0" w:color="auto"/>
            </w:tcBorders>
            <w:hideMark/>
          </w:tcPr>
          <w:p w:rsidR="007C7CE4" w:rsidRDefault="007C7CE4">
            <w:pPr>
              <w:jc w:val="center"/>
              <w:cnfStyle w:val="100000000000" w:firstRow="1" w:lastRow="0" w:firstColumn="0" w:lastColumn="0" w:oddVBand="0" w:evenVBand="0" w:oddHBand="0" w:evenHBand="0" w:firstRowFirstColumn="0" w:firstRowLastColumn="0" w:lastRowFirstColumn="0" w:lastRowLastColumn="0"/>
            </w:pPr>
            <w:r>
              <w:t>4-6</w:t>
            </w:r>
          </w:p>
        </w:tc>
        <w:tc>
          <w:tcPr>
            <w:tcW w:w="1365" w:type="dxa"/>
            <w:tcBorders>
              <w:top w:val="single" w:sz="4" w:space="0" w:color="auto"/>
              <w:left w:val="single" w:sz="4" w:space="0" w:color="auto"/>
              <w:bottom w:val="single" w:sz="4" w:space="0" w:color="auto"/>
              <w:right w:val="single" w:sz="4" w:space="0" w:color="auto"/>
            </w:tcBorders>
            <w:hideMark/>
          </w:tcPr>
          <w:p w:rsidR="007C7CE4" w:rsidRDefault="007C7CE4">
            <w:pPr>
              <w:jc w:val="center"/>
              <w:cnfStyle w:val="100000000000" w:firstRow="1" w:lastRow="0" w:firstColumn="0" w:lastColumn="0" w:oddVBand="0" w:evenVBand="0" w:oddHBand="0" w:evenHBand="0" w:firstRowFirstColumn="0" w:firstRowLastColumn="0" w:lastRowFirstColumn="0" w:lastRowLastColumn="0"/>
            </w:pPr>
            <w:r>
              <w:t>6-8</w:t>
            </w:r>
          </w:p>
        </w:tc>
        <w:tc>
          <w:tcPr>
            <w:tcW w:w="1294" w:type="dxa"/>
            <w:tcBorders>
              <w:top w:val="single" w:sz="4" w:space="0" w:color="auto"/>
              <w:left w:val="single" w:sz="4" w:space="0" w:color="auto"/>
              <w:bottom w:val="single" w:sz="4" w:space="0" w:color="auto"/>
              <w:right w:val="single" w:sz="4" w:space="0" w:color="auto"/>
            </w:tcBorders>
            <w:hideMark/>
          </w:tcPr>
          <w:p w:rsidR="007C7CE4" w:rsidRDefault="007C7CE4">
            <w:pPr>
              <w:jc w:val="center"/>
              <w:cnfStyle w:val="100000000000" w:firstRow="1" w:lastRow="0" w:firstColumn="0" w:lastColumn="0" w:oddVBand="0" w:evenVBand="0" w:oddHBand="0" w:evenHBand="0" w:firstRowFirstColumn="0" w:firstRowLastColumn="0" w:lastRowFirstColumn="0" w:lastRowLastColumn="0"/>
            </w:pPr>
            <w:r>
              <w:t>8-10</w:t>
            </w:r>
          </w:p>
        </w:tc>
        <w:tc>
          <w:tcPr>
            <w:tcW w:w="1294" w:type="dxa"/>
            <w:tcBorders>
              <w:top w:val="single" w:sz="4" w:space="0" w:color="auto"/>
              <w:left w:val="single" w:sz="4" w:space="0" w:color="auto"/>
              <w:bottom w:val="single" w:sz="4" w:space="0" w:color="auto"/>
              <w:right w:val="single" w:sz="4" w:space="0" w:color="auto"/>
            </w:tcBorders>
            <w:hideMark/>
          </w:tcPr>
          <w:p w:rsidR="007C7CE4" w:rsidRDefault="007C7CE4">
            <w:pPr>
              <w:jc w:val="center"/>
              <w:cnfStyle w:val="100000000000" w:firstRow="1" w:lastRow="0" w:firstColumn="0" w:lastColumn="0" w:oddVBand="0" w:evenVBand="0" w:oddHBand="0" w:evenHBand="0" w:firstRowFirstColumn="0" w:firstRowLastColumn="0" w:lastRowFirstColumn="0" w:lastRowLastColumn="0"/>
            </w:pPr>
            <w:r>
              <w:t>10-12</w:t>
            </w:r>
          </w:p>
        </w:tc>
      </w:tr>
      <w:tr w:rsidR="007C7CE4" w:rsidTr="007C7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Identification of Research Objectives</w:t>
            </w:r>
          </w:p>
        </w:tc>
        <w:tc>
          <w:tcPr>
            <w:tcW w:w="136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r>
      <w:tr w:rsidR="007C7CE4" w:rsidTr="007C7CE4">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Formulation of Research Question and Selection of Variables</w:t>
            </w:r>
          </w:p>
        </w:tc>
        <w:tc>
          <w:tcPr>
            <w:tcW w:w="1364"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r>
      <w:tr w:rsidR="007C7CE4" w:rsidTr="007C7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Writing Research Proposal</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shd w:val="clear" w:color="auto" w:fill="00B050"/>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r>
      <w:tr w:rsidR="007C7CE4" w:rsidTr="007C7CE4">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Detailed Literature Review</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shd w:val="clear" w:color="auto" w:fill="FFC000"/>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shd w:val="clear" w:color="auto" w:fill="FFC000"/>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r>
      <w:tr w:rsidR="007C7CE4" w:rsidTr="007C7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 xml:space="preserve">Development of Questionnaire </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shd w:val="clear" w:color="auto" w:fill="FFFF00"/>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r>
      <w:tr w:rsidR="007C7CE4" w:rsidTr="007C7CE4">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Data Collection via Survey</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shd w:val="clear" w:color="auto" w:fill="002060"/>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shd w:val="clear" w:color="auto" w:fill="002060"/>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r>
      <w:tr w:rsidR="007C7CE4" w:rsidTr="007C7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Data Analysis</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r>
      <w:tr w:rsidR="007C7CE4" w:rsidTr="007C7CE4">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Draft Write-up</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shd w:val="clear" w:color="auto" w:fill="FF0000"/>
          </w:tcPr>
          <w:p w:rsidR="007C7CE4" w:rsidRDefault="007C7CE4">
            <w:pPr>
              <w:cnfStyle w:val="000000000000" w:firstRow="0" w:lastRow="0" w:firstColumn="0" w:lastColumn="0" w:oddVBand="0" w:evenVBand="0" w:oddHBand="0"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000000" w:firstRow="0" w:lastRow="0" w:firstColumn="0" w:lastColumn="0" w:oddVBand="0" w:evenVBand="0" w:oddHBand="0" w:evenHBand="0" w:firstRowFirstColumn="0" w:firstRowLastColumn="0" w:lastRowFirstColumn="0" w:lastRowLastColumn="0"/>
            </w:pPr>
          </w:p>
        </w:tc>
      </w:tr>
      <w:tr w:rsidR="007C7CE4" w:rsidTr="007C7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hideMark/>
          </w:tcPr>
          <w:p w:rsidR="007C7CE4" w:rsidRDefault="007C7CE4">
            <w:r>
              <w:t xml:space="preserve">Final Dissertation </w:t>
            </w: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365"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tcPr>
          <w:p w:rsidR="007C7CE4" w:rsidRDefault="007C7CE4">
            <w:pPr>
              <w:cnfStyle w:val="000000100000" w:firstRow="0" w:lastRow="0" w:firstColumn="0" w:lastColumn="0" w:oddVBand="0" w:evenVBand="0" w:oddHBand="1" w:evenHBand="0" w:firstRowFirstColumn="0" w:firstRowLastColumn="0" w:lastRowFirstColumn="0" w:lastRowLastColumn="0"/>
            </w:pPr>
          </w:p>
        </w:tc>
        <w:tc>
          <w:tcPr>
            <w:tcW w:w="1294" w:type="dxa"/>
            <w:tcBorders>
              <w:top w:val="single" w:sz="4" w:space="0" w:color="auto"/>
              <w:left w:val="single" w:sz="4" w:space="0" w:color="auto"/>
              <w:bottom w:val="single" w:sz="4" w:space="0" w:color="auto"/>
              <w:right w:val="single" w:sz="4" w:space="0" w:color="auto"/>
            </w:tcBorders>
            <w:shd w:val="clear" w:color="auto" w:fill="C00000"/>
          </w:tcPr>
          <w:p w:rsidR="007C7CE4" w:rsidRDefault="007C7CE4">
            <w:pPr>
              <w:cnfStyle w:val="000000100000" w:firstRow="0" w:lastRow="0" w:firstColumn="0" w:lastColumn="0" w:oddVBand="0" w:evenVBand="0" w:oddHBand="1" w:evenHBand="0" w:firstRowFirstColumn="0" w:firstRowLastColumn="0" w:lastRowFirstColumn="0" w:lastRowLastColumn="0"/>
            </w:pPr>
          </w:p>
        </w:tc>
      </w:tr>
    </w:tbl>
    <w:p w:rsidR="007C7CE4" w:rsidRPr="007C7CE4" w:rsidRDefault="007C7CE4" w:rsidP="007C7CE4">
      <w:pPr>
        <w:rPr>
          <w:lang w:val="en-GB"/>
        </w:rPr>
      </w:pPr>
    </w:p>
    <w:sectPr w:rsidR="007C7CE4" w:rsidRPr="007C7CE4" w:rsidSect="00500357">
      <w:headerReference w:type="default" r:id="rId2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9C" w:rsidRDefault="00EE7E9C" w:rsidP="00EE2578">
      <w:pPr>
        <w:spacing w:after="0" w:line="240" w:lineRule="auto"/>
      </w:pPr>
      <w:r>
        <w:separator/>
      </w:r>
    </w:p>
  </w:endnote>
  <w:endnote w:type="continuationSeparator" w:id="0">
    <w:p w:rsidR="00EE7E9C" w:rsidRDefault="00EE7E9C" w:rsidP="00EE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9C" w:rsidRDefault="00EE7E9C" w:rsidP="00EE2578">
      <w:pPr>
        <w:spacing w:after="0" w:line="240" w:lineRule="auto"/>
      </w:pPr>
      <w:r>
        <w:separator/>
      </w:r>
    </w:p>
  </w:footnote>
  <w:footnote w:type="continuationSeparator" w:id="0">
    <w:p w:rsidR="00EE7E9C" w:rsidRDefault="00EE7E9C" w:rsidP="00EE2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57" w:rsidRDefault="00BB54DE" w:rsidP="00500357">
    <w:pPr>
      <w:pStyle w:val="Header"/>
      <w:tabs>
        <w:tab w:val="left" w:pos="1565"/>
      </w:tabs>
    </w:pPr>
    <w:r>
      <w:t>Running Head: Proposal</w:t>
    </w:r>
    <w:r w:rsidR="00500357">
      <w:tab/>
    </w:r>
    <w:r w:rsidR="00500357">
      <w:tab/>
    </w:r>
    <w:r w:rsidR="0050035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406551"/>
      <w:docPartObj>
        <w:docPartGallery w:val="Page Numbers (Top of Page)"/>
        <w:docPartUnique/>
      </w:docPartObj>
    </w:sdtPr>
    <w:sdtEndPr>
      <w:rPr>
        <w:noProof/>
      </w:rPr>
    </w:sdtEndPr>
    <w:sdtContent>
      <w:p w:rsidR="00500357" w:rsidRDefault="00500357" w:rsidP="00500357">
        <w:pPr>
          <w:pStyle w:val="Header"/>
          <w:jc w:val="right"/>
        </w:pPr>
        <w:r>
          <w:fldChar w:fldCharType="begin"/>
        </w:r>
        <w:r>
          <w:instrText xml:space="preserve"> PAGE   \* MERGEFORMAT </w:instrText>
        </w:r>
        <w:r>
          <w:fldChar w:fldCharType="separate"/>
        </w:r>
        <w:r w:rsidR="008634C4">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57C1"/>
      </v:shape>
    </w:pict>
  </w:numPicBullet>
  <w:abstractNum w:abstractNumId="0">
    <w:nsid w:val="14C63614"/>
    <w:multiLevelType w:val="hybridMultilevel"/>
    <w:tmpl w:val="C77C9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25B8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5F01303"/>
    <w:multiLevelType w:val="multilevel"/>
    <w:tmpl w:val="E9C26E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3242F8F"/>
    <w:multiLevelType w:val="multilevel"/>
    <w:tmpl w:val="A0D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042D81"/>
    <w:multiLevelType w:val="hybridMultilevel"/>
    <w:tmpl w:val="F198F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74EF6"/>
    <w:multiLevelType w:val="hybridMultilevel"/>
    <w:tmpl w:val="11C86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A1785"/>
    <w:multiLevelType w:val="hybridMultilevel"/>
    <w:tmpl w:val="E744A7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F7D76"/>
    <w:multiLevelType w:val="hybridMultilevel"/>
    <w:tmpl w:val="DAE65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E0F84"/>
    <w:multiLevelType w:val="hybridMultilevel"/>
    <w:tmpl w:val="E1FE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9505F"/>
    <w:multiLevelType w:val="multilevel"/>
    <w:tmpl w:val="09D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F63DF3"/>
    <w:multiLevelType w:val="multilevel"/>
    <w:tmpl w:val="C09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752D6A"/>
    <w:multiLevelType w:val="hybridMultilevel"/>
    <w:tmpl w:val="012E9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3"/>
  </w:num>
  <w:num w:numId="5">
    <w:abstractNumId w:val="9"/>
  </w:num>
  <w:num w:numId="6">
    <w:abstractNumId w:val="7"/>
  </w:num>
  <w:num w:numId="7">
    <w:abstractNumId w:val="5"/>
  </w:num>
  <w:num w:numId="8">
    <w:abstractNumId w:val="8"/>
  </w:num>
  <w:num w:numId="9">
    <w:abstractNumId w:val="4"/>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30"/>
    <w:rsid w:val="000118C0"/>
    <w:rsid w:val="00014311"/>
    <w:rsid w:val="0002234D"/>
    <w:rsid w:val="00023B59"/>
    <w:rsid w:val="00024B60"/>
    <w:rsid w:val="00026A00"/>
    <w:rsid w:val="00030AC0"/>
    <w:rsid w:val="0003217E"/>
    <w:rsid w:val="000333DB"/>
    <w:rsid w:val="0003393E"/>
    <w:rsid w:val="0003574E"/>
    <w:rsid w:val="00036A17"/>
    <w:rsid w:val="00036CD6"/>
    <w:rsid w:val="00044255"/>
    <w:rsid w:val="0005363A"/>
    <w:rsid w:val="00062CE7"/>
    <w:rsid w:val="00066B79"/>
    <w:rsid w:val="00070046"/>
    <w:rsid w:val="000725FB"/>
    <w:rsid w:val="00081BC3"/>
    <w:rsid w:val="00084A82"/>
    <w:rsid w:val="00090079"/>
    <w:rsid w:val="00092F93"/>
    <w:rsid w:val="00096125"/>
    <w:rsid w:val="000B17E0"/>
    <w:rsid w:val="000B55F1"/>
    <w:rsid w:val="000B683E"/>
    <w:rsid w:val="000B7634"/>
    <w:rsid w:val="000C126A"/>
    <w:rsid w:val="000C1698"/>
    <w:rsid w:val="000C26DE"/>
    <w:rsid w:val="000C3400"/>
    <w:rsid w:val="000C44DF"/>
    <w:rsid w:val="000D016C"/>
    <w:rsid w:val="000D4E34"/>
    <w:rsid w:val="000E4D20"/>
    <w:rsid w:val="000F1EDE"/>
    <w:rsid w:val="000F2740"/>
    <w:rsid w:val="000F3B75"/>
    <w:rsid w:val="000F70A9"/>
    <w:rsid w:val="000F7680"/>
    <w:rsid w:val="00107D6F"/>
    <w:rsid w:val="00112A4E"/>
    <w:rsid w:val="00117614"/>
    <w:rsid w:val="00121C90"/>
    <w:rsid w:val="001262C0"/>
    <w:rsid w:val="001303F2"/>
    <w:rsid w:val="00140EC4"/>
    <w:rsid w:val="001417D5"/>
    <w:rsid w:val="0014549B"/>
    <w:rsid w:val="001508C2"/>
    <w:rsid w:val="001608D0"/>
    <w:rsid w:val="00184717"/>
    <w:rsid w:val="00184E83"/>
    <w:rsid w:val="0019135D"/>
    <w:rsid w:val="00192122"/>
    <w:rsid w:val="00192AE2"/>
    <w:rsid w:val="00194B00"/>
    <w:rsid w:val="00197A36"/>
    <w:rsid w:val="001A2A5D"/>
    <w:rsid w:val="001B3170"/>
    <w:rsid w:val="001C2625"/>
    <w:rsid w:val="001D7B8A"/>
    <w:rsid w:val="001E09FD"/>
    <w:rsid w:val="001E1987"/>
    <w:rsid w:val="001E21D8"/>
    <w:rsid w:val="001E650D"/>
    <w:rsid w:val="001F4548"/>
    <w:rsid w:val="001F47CA"/>
    <w:rsid w:val="00207AE8"/>
    <w:rsid w:val="00217636"/>
    <w:rsid w:val="002179B2"/>
    <w:rsid w:val="002269D7"/>
    <w:rsid w:val="00231303"/>
    <w:rsid w:val="00237BB3"/>
    <w:rsid w:val="00242A25"/>
    <w:rsid w:val="00244CA7"/>
    <w:rsid w:val="0025236D"/>
    <w:rsid w:val="00252DD1"/>
    <w:rsid w:val="00260CF2"/>
    <w:rsid w:val="00276A10"/>
    <w:rsid w:val="00287873"/>
    <w:rsid w:val="00294F4B"/>
    <w:rsid w:val="002968AD"/>
    <w:rsid w:val="00297027"/>
    <w:rsid w:val="0029754F"/>
    <w:rsid w:val="002A5772"/>
    <w:rsid w:val="002A71D9"/>
    <w:rsid w:val="002B2C37"/>
    <w:rsid w:val="002E0E0E"/>
    <w:rsid w:val="002E1A6A"/>
    <w:rsid w:val="002E2E7E"/>
    <w:rsid w:val="002E3F13"/>
    <w:rsid w:val="002F172D"/>
    <w:rsid w:val="002F4490"/>
    <w:rsid w:val="002F5582"/>
    <w:rsid w:val="003014E4"/>
    <w:rsid w:val="00302D7E"/>
    <w:rsid w:val="00303254"/>
    <w:rsid w:val="00307667"/>
    <w:rsid w:val="00325071"/>
    <w:rsid w:val="0033170B"/>
    <w:rsid w:val="003403A0"/>
    <w:rsid w:val="003550C4"/>
    <w:rsid w:val="00357F83"/>
    <w:rsid w:val="0036548C"/>
    <w:rsid w:val="00386ABB"/>
    <w:rsid w:val="00395D9F"/>
    <w:rsid w:val="003A681E"/>
    <w:rsid w:val="003A688E"/>
    <w:rsid w:val="003B0B28"/>
    <w:rsid w:val="003B2DCD"/>
    <w:rsid w:val="003B5B6A"/>
    <w:rsid w:val="003C0691"/>
    <w:rsid w:val="003C1183"/>
    <w:rsid w:val="003C273E"/>
    <w:rsid w:val="003C29CA"/>
    <w:rsid w:val="003C3346"/>
    <w:rsid w:val="003C6A7F"/>
    <w:rsid w:val="003C7215"/>
    <w:rsid w:val="003C726D"/>
    <w:rsid w:val="003D1BDB"/>
    <w:rsid w:val="003D1C88"/>
    <w:rsid w:val="003D4CB5"/>
    <w:rsid w:val="003E378B"/>
    <w:rsid w:val="003E3847"/>
    <w:rsid w:val="003F1250"/>
    <w:rsid w:val="003F13B5"/>
    <w:rsid w:val="00401A89"/>
    <w:rsid w:val="004048B8"/>
    <w:rsid w:val="00404F6D"/>
    <w:rsid w:val="00415300"/>
    <w:rsid w:val="0041754C"/>
    <w:rsid w:val="00421705"/>
    <w:rsid w:val="0042191B"/>
    <w:rsid w:val="00422B41"/>
    <w:rsid w:val="004276FC"/>
    <w:rsid w:val="004308A0"/>
    <w:rsid w:val="00440F43"/>
    <w:rsid w:val="00455CCB"/>
    <w:rsid w:val="00456D44"/>
    <w:rsid w:val="00460720"/>
    <w:rsid w:val="00460C80"/>
    <w:rsid w:val="00466A38"/>
    <w:rsid w:val="00476D5B"/>
    <w:rsid w:val="004775FD"/>
    <w:rsid w:val="00482926"/>
    <w:rsid w:val="00490F32"/>
    <w:rsid w:val="004953BC"/>
    <w:rsid w:val="004A1CD4"/>
    <w:rsid w:val="004A3E1D"/>
    <w:rsid w:val="004A3F72"/>
    <w:rsid w:val="004A64A3"/>
    <w:rsid w:val="004B1DEE"/>
    <w:rsid w:val="004B4118"/>
    <w:rsid w:val="004D0992"/>
    <w:rsid w:val="004D5172"/>
    <w:rsid w:val="004E1701"/>
    <w:rsid w:val="004E4E84"/>
    <w:rsid w:val="004E6EF6"/>
    <w:rsid w:val="004F6AAD"/>
    <w:rsid w:val="004F7149"/>
    <w:rsid w:val="004F7355"/>
    <w:rsid w:val="00500357"/>
    <w:rsid w:val="005030D1"/>
    <w:rsid w:val="00513534"/>
    <w:rsid w:val="0052108A"/>
    <w:rsid w:val="00532A93"/>
    <w:rsid w:val="00535BEC"/>
    <w:rsid w:val="00540B93"/>
    <w:rsid w:val="00540E05"/>
    <w:rsid w:val="0054566E"/>
    <w:rsid w:val="005461B6"/>
    <w:rsid w:val="005521D2"/>
    <w:rsid w:val="005568B5"/>
    <w:rsid w:val="00566234"/>
    <w:rsid w:val="00572C39"/>
    <w:rsid w:val="00572F74"/>
    <w:rsid w:val="00583594"/>
    <w:rsid w:val="005858A2"/>
    <w:rsid w:val="00593EBA"/>
    <w:rsid w:val="005940B7"/>
    <w:rsid w:val="00595D9E"/>
    <w:rsid w:val="00597F06"/>
    <w:rsid w:val="005A34ED"/>
    <w:rsid w:val="005A6163"/>
    <w:rsid w:val="005A6C81"/>
    <w:rsid w:val="005B1220"/>
    <w:rsid w:val="005D37B5"/>
    <w:rsid w:val="005D757F"/>
    <w:rsid w:val="005F27BF"/>
    <w:rsid w:val="00601847"/>
    <w:rsid w:val="006066CF"/>
    <w:rsid w:val="006159E0"/>
    <w:rsid w:val="00616775"/>
    <w:rsid w:val="006169BD"/>
    <w:rsid w:val="00625708"/>
    <w:rsid w:val="00626A5C"/>
    <w:rsid w:val="00634D23"/>
    <w:rsid w:val="00642888"/>
    <w:rsid w:val="00652AAB"/>
    <w:rsid w:val="0065409C"/>
    <w:rsid w:val="00654C64"/>
    <w:rsid w:val="0065665A"/>
    <w:rsid w:val="00663255"/>
    <w:rsid w:val="0067420E"/>
    <w:rsid w:val="00675950"/>
    <w:rsid w:val="006778F7"/>
    <w:rsid w:val="00680556"/>
    <w:rsid w:val="00680EEF"/>
    <w:rsid w:val="006A39F3"/>
    <w:rsid w:val="006B3FED"/>
    <w:rsid w:val="006D294E"/>
    <w:rsid w:val="006D2D67"/>
    <w:rsid w:val="006E14C5"/>
    <w:rsid w:val="006E3180"/>
    <w:rsid w:val="006E4DBA"/>
    <w:rsid w:val="006E5C6E"/>
    <w:rsid w:val="006F15F3"/>
    <w:rsid w:val="006F7DCF"/>
    <w:rsid w:val="007004E8"/>
    <w:rsid w:val="00704585"/>
    <w:rsid w:val="007055B9"/>
    <w:rsid w:val="00705B59"/>
    <w:rsid w:val="00721900"/>
    <w:rsid w:val="00721C38"/>
    <w:rsid w:val="007258CE"/>
    <w:rsid w:val="00725EBD"/>
    <w:rsid w:val="00727BA8"/>
    <w:rsid w:val="00731131"/>
    <w:rsid w:val="00736EFC"/>
    <w:rsid w:val="0074173F"/>
    <w:rsid w:val="00744723"/>
    <w:rsid w:val="007656C1"/>
    <w:rsid w:val="0077469C"/>
    <w:rsid w:val="0077690B"/>
    <w:rsid w:val="0079012C"/>
    <w:rsid w:val="007903D6"/>
    <w:rsid w:val="00790B62"/>
    <w:rsid w:val="00795845"/>
    <w:rsid w:val="0079654E"/>
    <w:rsid w:val="007A4465"/>
    <w:rsid w:val="007A51F4"/>
    <w:rsid w:val="007A5512"/>
    <w:rsid w:val="007A5A39"/>
    <w:rsid w:val="007A7535"/>
    <w:rsid w:val="007B2125"/>
    <w:rsid w:val="007B545A"/>
    <w:rsid w:val="007C6544"/>
    <w:rsid w:val="007C7CE4"/>
    <w:rsid w:val="007D08B3"/>
    <w:rsid w:val="007D65BF"/>
    <w:rsid w:val="007D70DE"/>
    <w:rsid w:val="007E0151"/>
    <w:rsid w:val="007E0C5D"/>
    <w:rsid w:val="007E5024"/>
    <w:rsid w:val="007F4184"/>
    <w:rsid w:val="007F60F1"/>
    <w:rsid w:val="00812C30"/>
    <w:rsid w:val="00813045"/>
    <w:rsid w:val="00814E87"/>
    <w:rsid w:val="0082101B"/>
    <w:rsid w:val="008453EE"/>
    <w:rsid w:val="0084607F"/>
    <w:rsid w:val="00846DCE"/>
    <w:rsid w:val="00850F8E"/>
    <w:rsid w:val="00851F67"/>
    <w:rsid w:val="008564D8"/>
    <w:rsid w:val="008566C4"/>
    <w:rsid w:val="00856B5E"/>
    <w:rsid w:val="00857E1C"/>
    <w:rsid w:val="008634C4"/>
    <w:rsid w:val="0086464E"/>
    <w:rsid w:val="00872392"/>
    <w:rsid w:val="00883A20"/>
    <w:rsid w:val="00890626"/>
    <w:rsid w:val="0089402E"/>
    <w:rsid w:val="00894616"/>
    <w:rsid w:val="00896194"/>
    <w:rsid w:val="008A12C2"/>
    <w:rsid w:val="008B31E9"/>
    <w:rsid w:val="008B608F"/>
    <w:rsid w:val="008D7319"/>
    <w:rsid w:val="008E1253"/>
    <w:rsid w:val="008F1B60"/>
    <w:rsid w:val="008F3B90"/>
    <w:rsid w:val="008F6624"/>
    <w:rsid w:val="008F7E1D"/>
    <w:rsid w:val="00904244"/>
    <w:rsid w:val="00905A2E"/>
    <w:rsid w:val="00930BF2"/>
    <w:rsid w:val="00932546"/>
    <w:rsid w:val="00933303"/>
    <w:rsid w:val="00937E06"/>
    <w:rsid w:val="00941CCA"/>
    <w:rsid w:val="00941EFC"/>
    <w:rsid w:val="00950D46"/>
    <w:rsid w:val="00950D82"/>
    <w:rsid w:val="00951ABE"/>
    <w:rsid w:val="00952DB9"/>
    <w:rsid w:val="00955CCA"/>
    <w:rsid w:val="00956CB8"/>
    <w:rsid w:val="009715CF"/>
    <w:rsid w:val="00972281"/>
    <w:rsid w:val="00972974"/>
    <w:rsid w:val="00972E84"/>
    <w:rsid w:val="00974EED"/>
    <w:rsid w:val="00980358"/>
    <w:rsid w:val="00981FBE"/>
    <w:rsid w:val="0098395E"/>
    <w:rsid w:val="00994566"/>
    <w:rsid w:val="0099534B"/>
    <w:rsid w:val="009A0E99"/>
    <w:rsid w:val="009A1D32"/>
    <w:rsid w:val="009A6608"/>
    <w:rsid w:val="009C6D7E"/>
    <w:rsid w:val="009F3078"/>
    <w:rsid w:val="00A01035"/>
    <w:rsid w:val="00A03379"/>
    <w:rsid w:val="00A14833"/>
    <w:rsid w:val="00A32426"/>
    <w:rsid w:val="00A34FB6"/>
    <w:rsid w:val="00A35C8B"/>
    <w:rsid w:val="00A403C3"/>
    <w:rsid w:val="00A40454"/>
    <w:rsid w:val="00A41C94"/>
    <w:rsid w:val="00A421A4"/>
    <w:rsid w:val="00A47C06"/>
    <w:rsid w:val="00A54D28"/>
    <w:rsid w:val="00A640D3"/>
    <w:rsid w:val="00A8169F"/>
    <w:rsid w:val="00A848D2"/>
    <w:rsid w:val="00A90F52"/>
    <w:rsid w:val="00A92395"/>
    <w:rsid w:val="00AB40B5"/>
    <w:rsid w:val="00AC24E6"/>
    <w:rsid w:val="00AC405A"/>
    <w:rsid w:val="00AD6F2C"/>
    <w:rsid w:val="00AE069F"/>
    <w:rsid w:val="00AE1BCA"/>
    <w:rsid w:val="00AE56EF"/>
    <w:rsid w:val="00AE71A6"/>
    <w:rsid w:val="00AF044B"/>
    <w:rsid w:val="00AF57EC"/>
    <w:rsid w:val="00B06731"/>
    <w:rsid w:val="00B10D38"/>
    <w:rsid w:val="00B24B0D"/>
    <w:rsid w:val="00B31962"/>
    <w:rsid w:val="00B325E1"/>
    <w:rsid w:val="00B338B9"/>
    <w:rsid w:val="00B36562"/>
    <w:rsid w:val="00B42AE8"/>
    <w:rsid w:val="00B46BD6"/>
    <w:rsid w:val="00B46EA4"/>
    <w:rsid w:val="00B5458A"/>
    <w:rsid w:val="00B60172"/>
    <w:rsid w:val="00B6040B"/>
    <w:rsid w:val="00B605ED"/>
    <w:rsid w:val="00B6455A"/>
    <w:rsid w:val="00B67BC3"/>
    <w:rsid w:val="00B7108C"/>
    <w:rsid w:val="00B77409"/>
    <w:rsid w:val="00B8063D"/>
    <w:rsid w:val="00B8229D"/>
    <w:rsid w:val="00B91D2D"/>
    <w:rsid w:val="00B93C08"/>
    <w:rsid w:val="00BB54DE"/>
    <w:rsid w:val="00BC0BE7"/>
    <w:rsid w:val="00BC5260"/>
    <w:rsid w:val="00BC60AC"/>
    <w:rsid w:val="00BC71B1"/>
    <w:rsid w:val="00BD04C0"/>
    <w:rsid w:val="00BD4AB6"/>
    <w:rsid w:val="00BD5EBC"/>
    <w:rsid w:val="00BE22FD"/>
    <w:rsid w:val="00C01B60"/>
    <w:rsid w:val="00C0722A"/>
    <w:rsid w:val="00C11DCE"/>
    <w:rsid w:val="00C17C4E"/>
    <w:rsid w:val="00C17EB4"/>
    <w:rsid w:val="00C31048"/>
    <w:rsid w:val="00C31761"/>
    <w:rsid w:val="00C35172"/>
    <w:rsid w:val="00C360F1"/>
    <w:rsid w:val="00C4689D"/>
    <w:rsid w:val="00C54D89"/>
    <w:rsid w:val="00C553DF"/>
    <w:rsid w:val="00C610EE"/>
    <w:rsid w:val="00C66AD6"/>
    <w:rsid w:val="00C9423A"/>
    <w:rsid w:val="00C95DEA"/>
    <w:rsid w:val="00C97A1C"/>
    <w:rsid w:val="00CA4345"/>
    <w:rsid w:val="00CA4B65"/>
    <w:rsid w:val="00CA5179"/>
    <w:rsid w:val="00CA7DF8"/>
    <w:rsid w:val="00CB6BE5"/>
    <w:rsid w:val="00CC121D"/>
    <w:rsid w:val="00CC1AA0"/>
    <w:rsid w:val="00CF035D"/>
    <w:rsid w:val="00CF426A"/>
    <w:rsid w:val="00D05FF6"/>
    <w:rsid w:val="00D112E9"/>
    <w:rsid w:val="00D164B0"/>
    <w:rsid w:val="00D17469"/>
    <w:rsid w:val="00D201A2"/>
    <w:rsid w:val="00D34FA4"/>
    <w:rsid w:val="00D37B85"/>
    <w:rsid w:val="00D5344E"/>
    <w:rsid w:val="00D53F59"/>
    <w:rsid w:val="00D55772"/>
    <w:rsid w:val="00D57823"/>
    <w:rsid w:val="00D61295"/>
    <w:rsid w:val="00D61E70"/>
    <w:rsid w:val="00D63F66"/>
    <w:rsid w:val="00D72FE0"/>
    <w:rsid w:val="00D73A08"/>
    <w:rsid w:val="00D74A02"/>
    <w:rsid w:val="00D76984"/>
    <w:rsid w:val="00D851ED"/>
    <w:rsid w:val="00D95FCE"/>
    <w:rsid w:val="00DA074D"/>
    <w:rsid w:val="00DB0D01"/>
    <w:rsid w:val="00DB5117"/>
    <w:rsid w:val="00DC4471"/>
    <w:rsid w:val="00DC69F9"/>
    <w:rsid w:val="00DD00FD"/>
    <w:rsid w:val="00DE35F0"/>
    <w:rsid w:val="00DE5562"/>
    <w:rsid w:val="00DF10A3"/>
    <w:rsid w:val="00DF2AFD"/>
    <w:rsid w:val="00E1017D"/>
    <w:rsid w:val="00E20A2E"/>
    <w:rsid w:val="00E2148B"/>
    <w:rsid w:val="00E223E0"/>
    <w:rsid w:val="00E235EB"/>
    <w:rsid w:val="00E2414D"/>
    <w:rsid w:val="00E32EC1"/>
    <w:rsid w:val="00E33B8A"/>
    <w:rsid w:val="00E35D5D"/>
    <w:rsid w:val="00E40ECA"/>
    <w:rsid w:val="00E432DE"/>
    <w:rsid w:val="00E44216"/>
    <w:rsid w:val="00E46B69"/>
    <w:rsid w:val="00E47198"/>
    <w:rsid w:val="00E63D70"/>
    <w:rsid w:val="00E67DD3"/>
    <w:rsid w:val="00E718ED"/>
    <w:rsid w:val="00E71E38"/>
    <w:rsid w:val="00E84AE5"/>
    <w:rsid w:val="00EA2224"/>
    <w:rsid w:val="00EA43D3"/>
    <w:rsid w:val="00EA72DD"/>
    <w:rsid w:val="00EB4215"/>
    <w:rsid w:val="00ED2297"/>
    <w:rsid w:val="00EE1217"/>
    <w:rsid w:val="00EE2103"/>
    <w:rsid w:val="00EE2578"/>
    <w:rsid w:val="00EE76A7"/>
    <w:rsid w:val="00EE7E9C"/>
    <w:rsid w:val="00EF0339"/>
    <w:rsid w:val="00EF186E"/>
    <w:rsid w:val="00EF1C7D"/>
    <w:rsid w:val="00EF2188"/>
    <w:rsid w:val="00EF2317"/>
    <w:rsid w:val="00EF5109"/>
    <w:rsid w:val="00F03AEE"/>
    <w:rsid w:val="00F12DDF"/>
    <w:rsid w:val="00F20070"/>
    <w:rsid w:val="00F2253C"/>
    <w:rsid w:val="00F245D6"/>
    <w:rsid w:val="00F27134"/>
    <w:rsid w:val="00F33878"/>
    <w:rsid w:val="00F35AFA"/>
    <w:rsid w:val="00F3780F"/>
    <w:rsid w:val="00F47EB4"/>
    <w:rsid w:val="00F52062"/>
    <w:rsid w:val="00F53DE7"/>
    <w:rsid w:val="00F60392"/>
    <w:rsid w:val="00F60AD1"/>
    <w:rsid w:val="00F73293"/>
    <w:rsid w:val="00F76E3E"/>
    <w:rsid w:val="00F80264"/>
    <w:rsid w:val="00F80AB1"/>
    <w:rsid w:val="00F86CC3"/>
    <w:rsid w:val="00F927AB"/>
    <w:rsid w:val="00F93F86"/>
    <w:rsid w:val="00F94805"/>
    <w:rsid w:val="00FA0C56"/>
    <w:rsid w:val="00FA242F"/>
    <w:rsid w:val="00FA3482"/>
    <w:rsid w:val="00FB06F2"/>
    <w:rsid w:val="00FB3490"/>
    <w:rsid w:val="00FB53CF"/>
    <w:rsid w:val="00FB6289"/>
    <w:rsid w:val="00FB75E3"/>
    <w:rsid w:val="00FC168F"/>
    <w:rsid w:val="00FC7EFE"/>
    <w:rsid w:val="00FD3578"/>
    <w:rsid w:val="00FD5CE2"/>
    <w:rsid w:val="00FE0708"/>
    <w:rsid w:val="00FE427E"/>
    <w:rsid w:val="00FE4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3E"/>
    <w:rPr>
      <w:rFonts w:ascii="Times New Roman" w:hAnsi="Times New Roman"/>
      <w:sz w:val="24"/>
    </w:rPr>
  </w:style>
  <w:style w:type="paragraph" w:styleId="Heading1">
    <w:name w:val="heading 1"/>
    <w:basedOn w:val="Normal"/>
    <w:next w:val="Normal"/>
    <w:link w:val="Heading1Char"/>
    <w:uiPriority w:val="9"/>
    <w:qFormat/>
    <w:rsid w:val="004E6EF6"/>
    <w:pPr>
      <w:keepNext/>
      <w:keepLines/>
      <w:numPr>
        <w:numId w:val="2"/>
      </w:numPr>
      <w:spacing w:before="240"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D7319"/>
    <w:pPr>
      <w:keepNext/>
      <w:keepLines/>
      <w:numPr>
        <w:ilvl w:val="1"/>
        <w:numId w:val="2"/>
      </w:numPr>
      <w:spacing w:before="40" w:after="0"/>
      <w:ind w:left="1296"/>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4E6EF6"/>
    <w:pPr>
      <w:keepNext/>
      <w:keepLines/>
      <w:numPr>
        <w:ilvl w:val="2"/>
        <w:numId w:val="2"/>
      </w:numPr>
      <w:spacing w:before="40" w:after="0" w:line="240" w:lineRule="auto"/>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EF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D7319"/>
    <w:rPr>
      <w:rFonts w:ascii="Times New Roman" w:eastAsiaTheme="majorEastAsia" w:hAnsi="Times New Roman" w:cstheme="majorBidi"/>
      <w:i/>
      <w:color w:val="000000" w:themeColor="text1"/>
      <w:sz w:val="24"/>
      <w:szCs w:val="26"/>
    </w:rPr>
  </w:style>
  <w:style w:type="character" w:customStyle="1" w:styleId="Heading3Char">
    <w:name w:val="Heading 3 Char"/>
    <w:basedOn w:val="DefaultParagraphFont"/>
    <w:link w:val="Heading3"/>
    <w:uiPriority w:val="9"/>
    <w:rsid w:val="004E6EF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numPr>
        <w:numId w:val="0"/>
      </w:num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EE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78"/>
    <w:rPr>
      <w:rFonts w:ascii="Times New Roman" w:hAnsi="Times New Roman"/>
      <w:sz w:val="24"/>
    </w:rPr>
  </w:style>
  <w:style w:type="paragraph" w:styleId="Footer">
    <w:name w:val="footer"/>
    <w:basedOn w:val="Normal"/>
    <w:link w:val="FooterChar"/>
    <w:uiPriority w:val="99"/>
    <w:unhideWhenUsed/>
    <w:rsid w:val="00EE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78"/>
    <w:rPr>
      <w:rFonts w:ascii="Times New Roman" w:hAnsi="Times New Roman"/>
      <w:sz w:val="24"/>
    </w:rPr>
  </w:style>
  <w:style w:type="paragraph" w:customStyle="1" w:styleId="after-h2">
    <w:name w:val="after-h2"/>
    <w:basedOn w:val="Normal"/>
    <w:rsid w:val="00CB6BE5"/>
    <w:pPr>
      <w:spacing w:before="100" w:beforeAutospacing="1" w:after="100" w:afterAutospacing="1" w:line="240" w:lineRule="auto"/>
    </w:pPr>
    <w:rPr>
      <w:rFonts w:eastAsia="Times New Roman" w:cs="Times New Roman"/>
      <w:szCs w:val="24"/>
    </w:rPr>
  </w:style>
  <w:style w:type="paragraph" w:customStyle="1" w:styleId="after-p">
    <w:name w:val="after-p"/>
    <w:basedOn w:val="Normal"/>
    <w:rsid w:val="00CA5179"/>
    <w:pPr>
      <w:spacing w:before="100" w:beforeAutospacing="1" w:after="100" w:afterAutospacing="1" w:line="240" w:lineRule="auto"/>
    </w:pPr>
    <w:rPr>
      <w:rFonts w:eastAsia="Times New Roman" w:cs="Times New Roman"/>
      <w:szCs w:val="24"/>
    </w:rPr>
  </w:style>
  <w:style w:type="paragraph" w:customStyle="1" w:styleId="p">
    <w:name w:val="p"/>
    <w:basedOn w:val="Normal"/>
    <w:rsid w:val="00D74A02"/>
    <w:pPr>
      <w:spacing w:before="100" w:beforeAutospacing="1" w:after="100" w:afterAutospacing="1" w:line="240" w:lineRule="auto"/>
    </w:pPr>
    <w:rPr>
      <w:rFonts w:eastAsia="Times New Roman" w:cs="Times New Roman"/>
      <w:szCs w:val="24"/>
    </w:rPr>
  </w:style>
  <w:style w:type="table" w:styleId="LightShading-Accent2">
    <w:name w:val="Light Shading Accent 2"/>
    <w:basedOn w:val="TableNormal"/>
    <w:uiPriority w:val="60"/>
    <w:rsid w:val="007C7C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3E"/>
    <w:rPr>
      <w:rFonts w:ascii="Times New Roman" w:hAnsi="Times New Roman"/>
      <w:sz w:val="24"/>
    </w:rPr>
  </w:style>
  <w:style w:type="paragraph" w:styleId="Heading1">
    <w:name w:val="heading 1"/>
    <w:basedOn w:val="Normal"/>
    <w:next w:val="Normal"/>
    <w:link w:val="Heading1Char"/>
    <w:uiPriority w:val="9"/>
    <w:qFormat/>
    <w:rsid w:val="004E6EF6"/>
    <w:pPr>
      <w:keepNext/>
      <w:keepLines/>
      <w:numPr>
        <w:numId w:val="2"/>
      </w:numPr>
      <w:spacing w:before="240"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D7319"/>
    <w:pPr>
      <w:keepNext/>
      <w:keepLines/>
      <w:numPr>
        <w:ilvl w:val="1"/>
        <w:numId w:val="2"/>
      </w:numPr>
      <w:spacing w:before="40" w:after="0"/>
      <w:ind w:left="1296"/>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4E6EF6"/>
    <w:pPr>
      <w:keepNext/>
      <w:keepLines/>
      <w:numPr>
        <w:ilvl w:val="2"/>
        <w:numId w:val="2"/>
      </w:numPr>
      <w:spacing w:before="40" w:after="0" w:line="240" w:lineRule="auto"/>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EF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D7319"/>
    <w:rPr>
      <w:rFonts w:ascii="Times New Roman" w:eastAsiaTheme="majorEastAsia" w:hAnsi="Times New Roman" w:cstheme="majorBidi"/>
      <w:i/>
      <w:color w:val="000000" w:themeColor="text1"/>
      <w:sz w:val="24"/>
      <w:szCs w:val="26"/>
    </w:rPr>
  </w:style>
  <w:style w:type="character" w:customStyle="1" w:styleId="Heading3Char">
    <w:name w:val="Heading 3 Char"/>
    <w:basedOn w:val="DefaultParagraphFont"/>
    <w:link w:val="Heading3"/>
    <w:uiPriority w:val="9"/>
    <w:rsid w:val="004E6EF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numPr>
        <w:numId w:val="0"/>
      </w:num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EE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78"/>
    <w:rPr>
      <w:rFonts w:ascii="Times New Roman" w:hAnsi="Times New Roman"/>
      <w:sz w:val="24"/>
    </w:rPr>
  </w:style>
  <w:style w:type="paragraph" w:styleId="Footer">
    <w:name w:val="footer"/>
    <w:basedOn w:val="Normal"/>
    <w:link w:val="FooterChar"/>
    <w:uiPriority w:val="99"/>
    <w:unhideWhenUsed/>
    <w:rsid w:val="00EE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78"/>
    <w:rPr>
      <w:rFonts w:ascii="Times New Roman" w:hAnsi="Times New Roman"/>
      <w:sz w:val="24"/>
    </w:rPr>
  </w:style>
  <w:style w:type="paragraph" w:customStyle="1" w:styleId="after-h2">
    <w:name w:val="after-h2"/>
    <w:basedOn w:val="Normal"/>
    <w:rsid w:val="00CB6BE5"/>
    <w:pPr>
      <w:spacing w:before="100" w:beforeAutospacing="1" w:after="100" w:afterAutospacing="1" w:line="240" w:lineRule="auto"/>
    </w:pPr>
    <w:rPr>
      <w:rFonts w:eastAsia="Times New Roman" w:cs="Times New Roman"/>
      <w:szCs w:val="24"/>
    </w:rPr>
  </w:style>
  <w:style w:type="paragraph" w:customStyle="1" w:styleId="after-p">
    <w:name w:val="after-p"/>
    <w:basedOn w:val="Normal"/>
    <w:rsid w:val="00CA5179"/>
    <w:pPr>
      <w:spacing w:before="100" w:beforeAutospacing="1" w:after="100" w:afterAutospacing="1" w:line="240" w:lineRule="auto"/>
    </w:pPr>
    <w:rPr>
      <w:rFonts w:eastAsia="Times New Roman" w:cs="Times New Roman"/>
      <w:szCs w:val="24"/>
    </w:rPr>
  </w:style>
  <w:style w:type="paragraph" w:customStyle="1" w:styleId="p">
    <w:name w:val="p"/>
    <w:basedOn w:val="Normal"/>
    <w:rsid w:val="00D74A02"/>
    <w:pPr>
      <w:spacing w:before="100" w:beforeAutospacing="1" w:after="100" w:afterAutospacing="1" w:line="240" w:lineRule="auto"/>
    </w:pPr>
    <w:rPr>
      <w:rFonts w:eastAsia="Times New Roman" w:cs="Times New Roman"/>
      <w:szCs w:val="24"/>
    </w:rPr>
  </w:style>
  <w:style w:type="table" w:styleId="LightShading-Accent2">
    <w:name w:val="Light Shading Accent 2"/>
    <w:basedOn w:val="TableNormal"/>
    <w:uiPriority w:val="60"/>
    <w:rsid w:val="007C7C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1588">
      <w:bodyDiv w:val="1"/>
      <w:marLeft w:val="0"/>
      <w:marRight w:val="0"/>
      <w:marTop w:val="0"/>
      <w:marBottom w:val="0"/>
      <w:divBdr>
        <w:top w:val="none" w:sz="0" w:space="0" w:color="auto"/>
        <w:left w:val="none" w:sz="0" w:space="0" w:color="auto"/>
        <w:bottom w:val="none" w:sz="0" w:space="0" w:color="auto"/>
        <w:right w:val="none" w:sz="0" w:space="0" w:color="auto"/>
      </w:divBdr>
    </w:div>
    <w:div w:id="95516137">
      <w:bodyDiv w:val="1"/>
      <w:marLeft w:val="0"/>
      <w:marRight w:val="0"/>
      <w:marTop w:val="0"/>
      <w:marBottom w:val="0"/>
      <w:divBdr>
        <w:top w:val="none" w:sz="0" w:space="0" w:color="auto"/>
        <w:left w:val="none" w:sz="0" w:space="0" w:color="auto"/>
        <w:bottom w:val="none" w:sz="0" w:space="0" w:color="auto"/>
        <w:right w:val="none" w:sz="0" w:space="0" w:color="auto"/>
      </w:divBdr>
    </w:div>
    <w:div w:id="117913808">
      <w:bodyDiv w:val="1"/>
      <w:marLeft w:val="0"/>
      <w:marRight w:val="0"/>
      <w:marTop w:val="0"/>
      <w:marBottom w:val="0"/>
      <w:divBdr>
        <w:top w:val="none" w:sz="0" w:space="0" w:color="auto"/>
        <w:left w:val="none" w:sz="0" w:space="0" w:color="auto"/>
        <w:bottom w:val="none" w:sz="0" w:space="0" w:color="auto"/>
        <w:right w:val="none" w:sz="0" w:space="0" w:color="auto"/>
      </w:divBdr>
      <w:divsChild>
        <w:div w:id="1263953417">
          <w:marLeft w:val="0"/>
          <w:marRight w:val="0"/>
          <w:marTop w:val="0"/>
          <w:marBottom w:val="0"/>
          <w:divBdr>
            <w:top w:val="none" w:sz="0" w:space="0" w:color="auto"/>
            <w:left w:val="none" w:sz="0" w:space="0" w:color="auto"/>
            <w:bottom w:val="none" w:sz="0" w:space="0" w:color="auto"/>
            <w:right w:val="none" w:sz="0" w:space="0" w:color="auto"/>
          </w:divBdr>
          <w:divsChild>
            <w:div w:id="970591775">
              <w:marLeft w:val="0"/>
              <w:marRight w:val="0"/>
              <w:marTop w:val="0"/>
              <w:marBottom w:val="0"/>
              <w:divBdr>
                <w:top w:val="none" w:sz="0" w:space="0" w:color="auto"/>
                <w:left w:val="none" w:sz="0" w:space="0" w:color="auto"/>
                <w:bottom w:val="none" w:sz="0" w:space="0" w:color="auto"/>
                <w:right w:val="none" w:sz="0" w:space="0" w:color="auto"/>
              </w:divBdr>
              <w:divsChild>
                <w:div w:id="2754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4408">
      <w:bodyDiv w:val="1"/>
      <w:marLeft w:val="0"/>
      <w:marRight w:val="0"/>
      <w:marTop w:val="0"/>
      <w:marBottom w:val="0"/>
      <w:divBdr>
        <w:top w:val="none" w:sz="0" w:space="0" w:color="auto"/>
        <w:left w:val="none" w:sz="0" w:space="0" w:color="auto"/>
        <w:bottom w:val="none" w:sz="0" w:space="0" w:color="auto"/>
        <w:right w:val="none" w:sz="0" w:space="0" w:color="auto"/>
      </w:divBdr>
    </w:div>
    <w:div w:id="140662347">
      <w:bodyDiv w:val="1"/>
      <w:marLeft w:val="0"/>
      <w:marRight w:val="0"/>
      <w:marTop w:val="0"/>
      <w:marBottom w:val="0"/>
      <w:divBdr>
        <w:top w:val="none" w:sz="0" w:space="0" w:color="auto"/>
        <w:left w:val="none" w:sz="0" w:space="0" w:color="auto"/>
        <w:bottom w:val="none" w:sz="0" w:space="0" w:color="auto"/>
        <w:right w:val="none" w:sz="0" w:space="0" w:color="auto"/>
      </w:divBdr>
    </w:div>
    <w:div w:id="191961289">
      <w:bodyDiv w:val="1"/>
      <w:marLeft w:val="0"/>
      <w:marRight w:val="0"/>
      <w:marTop w:val="0"/>
      <w:marBottom w:val="0"/>
      <w:divBdr>
        <w:top w:val="none" w:sz="0" w:space="0" w:color="auto"/>
        <w:left w:val="none" w:sz="0" w:space="0" w:color="auto"/>
        <w:bottom w:val="none" w:sz="0" w:space="0" w:color="auto"/>
        <w:right w:val="none" w:sz="0" w:space="0" w:color="auto"/>
      </w:divBdr>
    </w:div>
    <w:div w:id="278076713">
      <w:bodyDiv w:val="1"/>
      <w:marLeft w:val="0"/>
      <w:marRight w:val="0"/>
      <w:marTop w:val="0"/>
      <w:marBottom w:val="0"/>
      <w:divBdr>
        <w:top w:val="none" w:sz="0" w:space="0" w:color="auto"/>
        <w:left w:val="none" w:sz="0" w:space="0" w:color="auto"/>
        <w:bottom w:val="none" w:sz="0" w:space="0" w:color="auto"/>
        <w:right w:val="none" w:sz="0" w:space="0" w:color="auto"/>
      </w:divBdr>
      <w:divsChild>
        <w:div w:id="1599094598">
          <w:marLeft w:val="0"/>
          <w:marRight w:val="0"/>
          <w:marTop w:val="0"/>
          <w:marBottom w:val="0"/>
          <w:divBdr>
            <w:top w:val="none" w:sz="0" w:space="0" w:color="auto"/>
            <w:left w:val="none" w:sz="0" w:space="0" w:color="auto"/>
            <w:bottom w:val="none" w:sz="0" w:space="0" w:color="auto"/>
            <w:right w:val="none" w:sz="0" w:space="0" w:color="auto"/>
          </w:divBdr>
          <w:divsChild>
            <w:div w:id="1102725731">
              <w:marLeft w:val="0"/>
              <w:marRight w:val="0"/>
              <w:marTop w:val="0"/>
              <w:marBottom w:val="0"/>
              <w:divBdr>
                <w:top w:val="none" w:sz="0" w:space="0" w:color="auto"/>
                <w:left w:val="none" w:sz="0" w:space="0" w:color="auto"/>
                <w:bottom w:val="none" w:sz="0" w:space="0" w:color="auto"/>
                <w:right w:val="none" w:sz="0" w:space="0" w:color="auto"/>
              </w:divBdr>
              <w:divsChild>
                <w:div w:id="14730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1188">
      <w:bodyDiv w:val="1"/>
      <w:marLeft w:val="0"/>
      <w:marRight w:val="0"/>
      <w:marTop w:val="0"/>
      <w:marBottom w:val="0"/>
      <w:divBdr>
        <w:top w:val="none" w:sz="0" w:space="0" w:color="auto"/>
        <w:left w:val="none" w:sz="0" w:space="0" w:color="auto"/>
        <w:bottom w:val="none" w:sz="0" w:space="0" w:color="auto"/>
        <w:right w:val="none" w:sz="0" w:space="0" w:color="auto"/>
      </w:divBdr>
    </w:div>
    <w:div w:id="299070600">
      <w:bodyDiv w:val="1"/>
      <w:marLeft w:val="0"/>
      <w:marRight w:val="0"/>
      <w:marTop w:val="0"/>
      <w:marBottom w:val="0"/>
      <w:divBdr>
        <w:top w:val="none" w:sz="0" w:space="0" w:color="auto"/>
        <w:left w:val="none" w:sz="0" w:space="0" w:color="auto"/>
        <w:bottom w:val="none" w:sz="0" w:space="0" w:color="auto"/>
        <w:right w:val="none" w:sz="0" w:space="0" w:color="auto"/>
      </w:divBdr>
    </w:div>
    <w:div w:id="302582758">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0">
          <w:marLeft w:val="0"/>
          <w:marRight w:val="0"/>
          <w:marTop w:val="0"/>
          <w:marBottom w:val="0"/>
          <w:divBdr>
            <w:top w:val="none" w:sz="0" w:space="0" w:color="auto"/>
            <w:left w:val="none" w:sz="0" w:space="0" w:color="auto"/>
            <w:bottom w:val="none" w:sz="0" w:space="0" w:color="auto"/>
            <w:right w:val="none" w:sz="0" w:space="0" w:color="auto"/>
          </w:divBdr>
        </w:div>
      </w:divsChild>
    </w:div>
    <w:div w:id="337970875">
      <w:bodyDiv w:val="1"/>
      <w:marLeft w:val="0"/>
      <w:marRight w:val="0"/>
      <w:marTop w:val="0"/>
      <w:marBottom w:val="0"/>
      <w:divBdr>
        <w:top w:val="none" w:sz="0" w:space="0" w:color="auto"/>
        <w:left w:val="none" w:sz="0" w:space="0" w:color="auto"/>
        <w:bottom w:val="none" w:sz="0" w:space="0" w:color="auto"/>
        <w:right w:val="none" w:sz="0" w:space="0" w:color="auto"/>
      </w:divBdr>
    </w:div>
    <w:div w:id="383455295">
      <w:bodyDiv w:val="1"/>
      <w:marLeft w:val="0"/>
      <w:marRight w:val="0"/>
      <w:marTop w:val="0"/>
      <w:marBottom w:val="0"/>
      <w:divBdr>
        <w:top w:val="none" w:sz="0" w:space="0" w:color="auto"/>
        <w:left w:val="none" w:sz="0" w:space="0" w:color="auto"/>
        <w:bottom w:val="none" w:sz="0" w:space="0" w:color="auto"/>
        <w:right w:val="none" w:sz="0" w:space="0" w:color="auto"/>
      </w:divBdr>
    </w:div>
    <w:div w:id="421267751">
      <w:bodyDiv w:val="1"/>
      <w:marLeft w:val="0"/>
      <w:marRight w:val="0"/>
      <w:marTop w:val="0"/>
      <w:marBottom w:val="0"/>
      <w:divBdr>
        <w:top w:val="none" w:sz="0" w:space="0" w:color="auto"/>
        <w:left w:val="none" w:sz="0" w:space="0" w:color="auto"/>
        <w:bottom w:val="none" w:sz="0" w:space="0" w:color="auto"/>
        <w:right w:val="none" w:sz="0" w:space="0" w:color="auto"/>
      </w:divBdr>
      <w:divsChild>
        <w:div w:id="1856991502">
          <w:marLeft w:val="0"/>
          <w:marRight w:val="0"/>
          <w:marTop w:val="400"/>
          <w:marBottom w:val="400"/>
          <w:divBdr>
            <w:top w:val="none" w:sz="0" w:space="0" w:color="auto"/>
            <w:left w:val="none" w:sz="0" w:space="0" w:color="auto"/>
            <w:bottom w:val="none" w:sz="0" w:space="0" w:color="auto"/>
            <w:right w:val="none" w:sz="0" w:space="0" w:color="auto"/>
          </w:divBdr>
        </w:div>
      </w:divsChild>
    </w:div>
    <w:div w:id="466973878">
      <w:bodyDiv w:val="1"/>
      <w:marLeft w:val="0"/>
      <w:marRight w:val="0"/>
      <w:marTop w:val="0"/>
      <w:marBottom w:val="0"/>
      <w:divBdr>
        <w:top w:val="none" w:sz="0" w:space="0" w:color="auto"/>
        <w:left w:val="none" w:sz="0" w:space="0" w:color="auto"/>
        <w:bottom w:val="none" w:sz="0" w:space="0" w:color="auto"/>
        <w:right w:val="none" w:sz="0" w:space="0" w:color="auto"/>
      </w:divBdr>
    </w:div>
    <w:div w:id="546261376">
      <w:bodyDiv w:val="1"/>
      <w:marLeft w:val="0"/>
      <w:marRight w:val="0"/>
      <w:marTop w:val="0"/>
      <w:marBottom w:val="0"/>
      <w:divBdr>
        <w:top w:val="none" w:sz="0" w:space="0" w:color="auto"/>
        <w:left w:val="none" w:sz="0" w:space="0" w:color="auto"/>
        <w:bottom w:val="none" w:sz="0" w:space="0" w:color="auto"/>
        <w:right w:val="none" w:sz="0" w:space="0" w:color="auto"/>
      </w:divBdr>
    </w:div>
    <w:div w:id="590504427">
      <w:bodyDiv w:val="1"/>
      <w:marLeft w:val="0"/>
      <w:marRight w:val="0"/>
      <w:marTop w:val="0"/>
      <w:marBottom w:val="0"/>
      <w:divBdr>
        <w:top w:val="none" w:sz="0" w:space="0" w:color="auto"/>
        <w:left w:val="none" w:sz="0" w:space="0" w:color="auto"/>
        <w:bottom w:val="none" w:sz="0" w:space="0" w:color="auto"/>
        <w:right w:val="none" w:sz="0" w:space="0" w:color="auto"/>
      </w:divBdr>
    </w:div>
    <w:div w:id="609045828">
      <w:bodyDiv w:val="1"/>
      <w:marLeft w:val="0"/>
      <w:marRight w:val="0"/>
      <w:marTop w:val="0"/>
      <w:marBottom w:val="0"/>
      <w:divBdr>
        <w:top w:val="none" w:sz="0" w:space="0" w:color="auto"/>
        <w:left w:val="none" w:sz="0" w:space="0" w:color="auto"/>
        <w:bottom w:val="none" w:sz="0" w:space="0" w:color="auto"/>
        <w:right w:val="none" w:sz="0" w:space="0" w:color="auto"/>
      </w:divBdr>
      <w:divsChild>
        <w:div w:id="1855068203">
          <w:marLeft w:val="0"/>
          <w:marRight w:val="0"/>
          <w:marTop w:val="0"/>
          <w:marBottom w:val="0"/>
          <w:divBdr>
            <w:top w:val="none" w:sz="0" w:space="0" w:color="auto"/>
            <w:left w:val="none" w:sz="0" w:space="0" w:color="auto"/>
            <w:bottom w:val="none" w:sz="0" w:space="0" w:color="auto"/>
            <w:right w:val="none" w:sz="0" w:space="0" w:color="auto"/>
          </w:divBdr>
        </w:div>
      </w:divsChild>
    </w:div>
    <w:div w:id="609317984">
      <w:bodyDiv w:val="1"/>
      <w:marLeft w:val="0"/>
      <w:marRight w:val="0"/>
      <w:marTop w:val="0"/>
      <w:marBottom w:val="0"/>
      <w:divBdr>
        <w:top w:val="none" w:sz="0" w:space="0" w:color="auto"/>
        <w:left w:val="none" w:sz="0" w:space="0" w:color="auto"/>
        <w:bottom w:val="none" w:sz="0" w:space="0" w:color="auto"/>
        <w:right w:val="none" w:sz="0" w:space="0" w:color="auto"/>
      </w:divBdr>
      <w:divsChild>
        <w:div w:id="1750735184">
          <w:marLeft w:val="0"/>
          <w:marRight w:val="0"/>
          <w:marTop w:val="0"/>
          <w:marBottom w:val="0"/>
          <w:divBdr>
            <w:top w:val="single" w:sz="2" w:space="0" w:color="D9D9E3"/>
            <w:left w:val="single" w:sz="2" w:space="0" w:color="D9D9E3"/>
            <w:bottom w:val="single" w:sz="2" w:space="0" w:color="D9D9E3"/>
            <w:right w:val="single" w:sz="2" w:space="0" w:color="D9D9E3"/>
          </w:divBdr>
          <w:divsChild>
            <w:div w:id="1368527262">
              <w:marLeft w:val="0"/>
              <w:marRight w:val="0"/>
              <w:marTop w:val="0"/>
              <w:marBottom w:val="0"/>
              <w:divBdr>
                <w:top w:val="single" w:sz="2" w:space="0" w:color="D9D9E3"/>
                <w:left w:val="single" w:sz="2" w:space="0" w:color="D9D9E3"/>
                <w:bottom w:val="single" w:sz="2" w:space="0" w:color="D9D9E3"/>
                <w:right w:val="single" w:sz="2" w:space="0" w:color="D9D9E3"/>
              </w:divBdr>
              <w:divsChild>
                <w:div w:id="1190148466">
                  <w:marLeft w:val="0"/>
                  <w:marRight w:val="0"/>
                  <w:marTop w:val="0"/>
                  <w:marBottom w:val="0"/>
                  <w:divBdr>
                    <w:top w:val="single" w:sz="2" w:space="0" w:color="D9D9E3"/>
                    <w:left w:val="single" w:sz="2" w:space="0" w:color="D9D9E3"/>
                    <w:bottom w:val="single" w:sz="2" w:space="0" w:color="D9D9E3"/>
                    <w:right w:val="single" w:sz="2" w:space="0" w:color="D9D9E3"/>
                  </w:divBdr>
                  <w:divsChild>
                    <w:div w:id="1381394424">
                      <w:marLeft w:val="0"/>
                      <w:marRight w:val="0"/>
                      <w:marTop w:val="0"/>
                      <w:marBottom w:val="0"/>
                      <w:divBdr>
                        <w:top w:val="single" w:sz="2" w:space="0" w:color="D9D9E3"/>
                        <w:left w:val="single" w:sz="2" w:space="0" w:color="D9D9E3"/>
                        <w:bottom w:val="single" w:sz="2" w:space="0" w:color="D9D9E3"/>
                        <w:right w:val="single" w:sz="2" w:space="0" w:color="D9D9E3"/>
                      </w:divBdr>
                      <w:divsChild>
                        <w:div w:id="393967530">
                          <w:marLeft w:val="0"/>
                          <w:marRight w:val="0"/>
                          <w:marTop w:val="0"/>
                          <w:marBottom w:val="0"/>
                          <w:divBdr>
                            <w:top w:val="none" w:sz="0" w:space="0" w:color="auto"/>
                            <w:left w:val="none" w:sz="0" w:space="0" w:color="auto"/>
                            <w:bottom w:val="none" w:sz="0" w:space="0" w:color="auto"/>
                            <w:right w:val="none" w:sz="0" w:space="0" w:color="auto"/>
                          </w:divBdr>
                          <w:divsChild>
                            <w:div w:id="1109163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673668">
                                  <w:marLeft w:val="0"/>
                                  <w:marRight w:val="0"/>
                                  <w:marTop w:val="0"/>
                                  <w:marBottom w:val="0"/>
                                  <w:divBdr>
                                    <w:top w:val="single" w:sz="2" w:space="0" w:color="D9D9E3"/>
                                    <w:left w:val="single" w:sz="2" w:space="0" w:color="D9D9E3"/>
                                    <w:bottom w:val="single" w:sz="2" w:space="0" w:color="D9D9E3"/>
                                    <w:right w:val="single" w:sz="2" w:space="0" w:color="D9D9E3"/>
                                  </w:divBdr>
                                  <w:divsChild>
                                    <w:div w:id="991175214">
                                      <w:marLeft w:val="0"/>
                                      <w:marRight w:val="0"/>
                                      <w:marTop w:val="0"/>
                                      <w:marBottom w:val="0"/>
                                      <w:divBdr>
                                        <w:top w:val="single" w:sz="2" w:space="0" w:color="D9D9E3"/>
                                        <w:left w:val="single" w:sz="2" w:space="0" w:color="D9D9E3"/>
                                        <w:bottom w:val="single" w:sz="2" w:space="0" w:color="D9D9E3"/>
                                        <w:right w:val="single" w:sz="2" w:space="0" w:color="D9D9E3"/>
                                      </w:divBdr>
                                      <w:divsChild>
                                        <w:div w:id="1010108244">
                                          <w:marLeft w:val="0"/>
                                          <w:marRight w:val="0"/>
                                          <w:marTop w:val="0"/>
                                          <w:marBottom w:val="0"/>
                                          <w:divBdr>
                                            <w:top w:val="single" w:sz="2" w:space="0" w:color="D9D9E3"/>
                                            <w:left w:val="single" w:sz="2" w:space="0" w:color="D9D9E3"/>
                                            <w:bottom w:val="single" w:sz="2" w:space="0" w:color="D9D9E3"/>
                                            <w:right w:val="single" w:sz="2" w:space="0" w:color="D9D9E3"/>
                                          </w:divBdr>
                                          <w:divsChild>
                                            <w:div w:id="2111077823">
                                              <w:marLeft w:val="0"/>
                                              <w:marRight w:val="0"/>
                                              <w:marTop w:val="0"/>
                                              <w:marBottom w:val="0"/>
                                              <w:divBdr>
                                                <w:top w:val="single" w:sz="2" w:space="0" w:color="D9D9E3"/>
                                                <w:left w:val="single" w:sz="2" w:space="0" w:color="D9D9E3"/>
                                                <w:bottom w:val="single" w:sz="2" w:space="0" w:color="D9D9E3"/>
                                                <w:right w:val="single" w:sz="2" w:space="0" w:color="D9D9E3"/>
                                              </w:divBdr>
                                              <w:divsChild>
                                                <w:div w:id="2141879254">
                                                  <w:marLeft w:val="0"/>
                                                  <w:marRight w:val="0"/>
                                                  <w:marTop w:val="0"/>
                                                  <w:marBottom w:val="0"/>
                                                  <w:divBdr>
                                                    <w:top w:val="single" w:sz="2" w:space="0" w:color="D9D9E3"/>
                                                    <w:left w:val="single" w:sz="2" w:space="0" w:color="D9D9E3"/>
                                                    <w:bottom w:val="single" w:sz="2" w:space="0" w:color="D9D9E3"/>
                                                    <w:right w:val="single" w:sz="2" w:space="0" w:color="D9D9E3"/>
                                                  </w:divBdr>
                                                  <w:divsChild>
                                                    <w:div w:id="1168864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8130683">
          <w:marLeft w:val="0"/>
          <w:marRight w:val="0"/>
          <w:marTop w:val="0"/>
          <w:marBottom w:val="0"/>
          <w:divBdr>
            <w:top w:val="none" w:sz="0" w:space="0" w:color="auto"/>
            <w:left w:val="none" w:sz="0" w:space="0" w:color="auto"/>
            <w:bottom w:val="none" w:sz="0" w:space="0" w:color="auto"/>
            <w:right w:val="none" w:sz="0" w:space="0" w:color="auto"/>
          </w:divBdr>
        </w:div>
      </w:divsChild>
    </w:div>
    <w:div w:id="630554253">
      <w:bodyDiv w:val="1"/>
      <w:marLeft w:val="0"/>
      <w:marRight w:val="0"/>
      <w:marTop w:val="0"/>
      <w:marBottom w:val="0"/>
      <w:divBdr>
        <w:top w:val="none" w:sz="0" w:space="0" w:color="auto"/>
        <w:left w:val="none" w:sz="0" w:space="0" w:color="auto"/>
        <w:bottom w:val="none" w:sz="0" w:space="0" w:color="auto"/>
        <w:right w:val="none" w:sz="0" w:space="0" w:color="auto"/>
      </w:divBdr>
    </w:div>
    <w:div w:id="702023841">
      <w:bodyDiv w:val="1"/>
      <w:marLeft w:val="0"/>
      <w:marRight w:val="0"/>
      <w:marTop w:val="0"/>
      <w:marBottom w:val="0"/>
      <w:divBdr>
        <w:top w:val="none" w:sz="0" w:space="0" w:color="auto"/>
        <w:left w:val="none" w:sz="0" w:space="0" w:color="auto"/>
        <w:bottom w:val="none" w:sz="0" w:space="0" w:color="auto"/>
        <w:right w:val="none" w:sz="0" w:space="0" w:color="auto"/>
      </w:divBdr>
    </w:div>
    <w:div w:id="741953977">
      <w:bodyDiv w:val="1"/>
      <w:marLeft w:val="0"/>
      <w:marRight w:val="0"/>
      <w:marTop w:val="0"/>
      <w:marBottom w:val="0"/>
      <w:divBdr>
        <w:top w:val="none" w:sz="0" w:space="0" w:color="auto"/>
        <w:left w:val="none" w:sz="0" w:space="0" w:color="auto"/>
        <w:bottom w:val="none" w:sz="0" w:space="0" w:color="auto"/>
        <w:right w:val="none" w:sz="0" w:space="0" w:color="auto"/>
      </w:divBdr>
    </w:div>
    <w:div w:id="748697817">
      <w:bodyDiv w:val="1"/>
      <w:marLeft w:val="0"/>
      <w:marRight w:val="0"/>
      <w:marTop w:val="0"/>
      <w:marBottom w:val="0"/>
      <w:divBdr>
        <w:top w:val="none" w:sz="0" w:space="0" w:color="auto"/>
        <w:left w:val="none" w:sz="0" w:space="0" w:color="auto"/>
        <w:bottom w:val="none" w:sz="0" w:space="0" w:color="auto"/>
        <w:right w:val="none" w:sz="0" w:space="0" w:color="auto"/>
      </w:divBdr>
    </w:div>
    <w:div w:id="753169426">
      <w:bodyDiv w:val="1"/>
      <w:marLeft w:val="0"/>
      <w:marRight w:val="0"/>
      <w:marTop w:val="0"/>
      <w:marBottom w:val="0"/>
      <w:divBdr>
        <w:top w:val="none" w:sz="0" w:space="0" w:color="auto"/>
        <w:left w:val="none" w:sz="0" w:space="0" w:color="auto"/>
        <w:bottom w:val="none" w:sz="0" w:space="0" w:color="auto"/>
        <w:right w:val="none" w:sz="0" w:space="0" w:color="auto"/>
      </w:divBdr>
      <w:divsChild>
        <w:div w:id="1965502291">
          <w:marLeft w:val="0"/>
          <w:marRight w:val="0"/>
          <w:marTop w:val="0"/>
          <w:marBottom w:val="0"/>
          <w:divBdr>
            <w:top w:val="none" w:sz="0" w:space="0" w:color="auto"/>
            <w:left w:val="none" w:sz="0" w:space="0" w:color="auto"/>
            <w:bottom w:val="none" w:sz="0" w:space="0" w:color="auto"/>
            <w:right w:val="none" w:sz="0" w:space="0" w:color="auto"/>
          </w:divBdr>
          <w:divsChild>
            <w:div w:id="1408959788">
              <w:marLeft w:val="0"/>
              <w:marRight w:val="0"/>
              <w:marTop w:val="0"/>
              <w:marBottom w:val="0"/>
              <w:divBdr>
                <w:top w:val="none" w:sz="0" w:space="0" w:color="auto"/>
                <w:left w:val="none" w:sz="0" w:space="0" w:color="auto"/>
                <w:bottom w:val="none" w:sz="0" w:space="0" w:color="auto"/>
                <w:right w:val="none" w:sz="0" w:space="0" w:color="auto"/>
              </w:divBdr>
              <w:divsChild>
                <w:div w:id="160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3038">
      <w:bodyDiv w:val="1"/>
      <w:marLeft w:val="0"/>
      <w:marRight w:val="0"/>
      <w:marTop w:val="0"/>
      <w:marBottom w:val="0"/>
      <w:divBdr>
        <w:top w:val="none" w:sz="0" w:space="0" w:color="auto"/>
        <w:left w:val="none" w:sz="0" w:space="0" w:color="auto"/>
        <w:bottom w:val="none" w:sz="0" w:space="0" w:color="auto"/>
        <w:right w:val="none" w:sz="0" w:space="0" w:color="auto"/>
      </w:divBdr>
      <w:divsChild>
        <w:div w:id="1974679429">
          <w:marLeft w:val="0"/>
          <w:marRight w:val="0"/>
          <w:marTop w:val="0"/>
          <w:marBottom w:val="0"/>
          <w:divBdr>
            <w:top w:val="none" w:sz="0" w:space="0" w:color="auto"/>
            <w:left w:val="none" w:sz="0" w:space="0" w:color="auto"/>
            <w:bottom w:val="none" w:sz="0" w:space="0" w:color="auto"/>
            <w:right w:val="none" w:sz="0" w:space="0" w:color="auto"/>
          </w:divBdr>
          <w:divsChild>
            <w:div w:id="1243635635">
              <w:marLeft w:val="0"/>
              <w:marRight w:val="0"/>
              <w:marTop w:val="0"/>
              <w:marBottom w:val="0"/>
              <w:divBdr>
                <w:top w:val="none" w:sz="0" w:space="0" w:color="auto"/>
                <w:left w:val="none" w:sz="0" w:space="0" w:color="auto"/>
                <w:bottom w:val="none" w:sz="0" w:space="0" w:color="auto"/>
                <w:right w:val="none" w:sz="0" w:space="0" w:color="auto"/>
              </w:divBdr>
              <w:divsChild>
                <w:div w:id="8667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4560">
      <w:bodyDiv w:val="1"/>
      <w:marLeft w:val="0"/>
      <w:marRight w:val="0"/>
      <w:marTop w:val="0"/>
      <w:marBottom w:val="0"/>
      <w:divBdr>
        <w:top w:val="none" w:sz="0" w:space="0" w:color="auto"/>
        <w:left w:val="none" w:sz="0" w:space="0" w:color="auto"/>
        <w:bottom w:val="none" w:sz="0" w:space="0" w:color="auto"/>
        <w:right w:val="none" w:sz="0" w:space="0" w:color="auto"/>
      </w:divBdr>
    </w:div>
    <w:div w:id="888804309">
      <w:bodyDiv w:val="1"/>
      <w:marLeft w:val="0"/>
      <w:marRight w:val="0"/>
      <w:marTop w:val="0"/>
      <w:marBottom w:val="0"/>
      <w:divBdr>
        <w:top w:val="none" w:sz="0" w:space="0" w:color="auto"/>
        <w:left w:val="none" w:sz="0" w:space="0" w:color="auto"/>
        <w:bottom w:val="none" w:sz="0" w:space="0" w:color="auto"/>
        <w:right w:val="none" w:sz="0" w:space="0" w:color="auto"/>
      </w:divBdr>
    </w:div>
    <w:div w:id="935401916">
      <w:bodyDiv w:val="1"/>
      <w:marLeft w:val="0"/>
      <w:marRight w:val="0"/>
      <w:marTop w:val="0"/>
      <w:marBottom w:val="0"/>
      <w:divBdr>
        <w:top w:val="none" w:sz="0" w:space="0" w:color="auto"/>
        <w:left w:val="none" w:sz="0" w:space="0" w:color="auto"/>
        <w:bottom w:val="none" w:sz="0" w:space="0" w:color="auto"/>
        <w:right w:val="none" w:sz="0" w:space="0" w:color="auto"/>
      </w:divBdr>
    </w:div>
    <w:div w:id="938753057">
      <w:bodyDiv w:val="1"/>
      <w:marLeft w:val="0"/>
      <w:marRight w:val="0"/>
      <w:marTop w:val="0"/>
      <w:marBottom w:val="0"/>
      <w:divBdr>
        <w:top w:val="none" w:sz="0" w:space="0" w:color="auto"/>
        <w:left w:val="none" w:sz="0" w:space="0" w:color="auto"/>
        <w:bottom w:val="none" w:sz="0" w:space="0" w:color="auto"/>
        <w:right w:val="none" w:sz="0" w:space="0" w:color="auto"/>
      </w:divBdr>
    </w:div>
    <w:div w:id="939263425">
      <w:bodyDiv w:val="1"/>
      <w:marLeft w:val="0"/>
      <w:marRight w:val="0"/>
      <w:marTop w:val="0"/>
      <w:marBottom w:val="0"/>
      <w:divBdr>
        <w:top w:val="none" w:sz="0" w:space="0" w:color="auto"/>
        <w:left w:val="none" w:sz="0" w:space="0" w:color="auto"/>
        <w:bottom w:val="none" w:sz="0" w:space="0" w:color="auto"/>
        <w:right w:val="none" w:sz="0" w:space="0" w:color="auto"/>
      </w:divBdr>
    </w:div>
    <w:div w:id="946816486">
      <w:bodyDiv w:val="1"/>
      <w:marLeft w:val="0"/>
      <w:marRight w:val="0"/>
      <w:marTop w:val="0"/>
      <w:marBottom w:val="0"/>
      <w:divBdr>
        <w:top w:val="none" w:sz="0" w:space="0" w:color="auto"/>
        <w:left w:val="none" w:sz="0" w:space="0" w:color="auto"/>
        <w:bottom w:val="none" w:sz="0" w:space="0" w:color="auto"/>
        <w:right w:val="none" w:sz="0" w:space="0" w:color="auto"/>
      </w:divBdr>
    </w:div>
    <w:div w:id="980615173">
      <w:bodyDiv w:val="1"/>
      <w:marLeft w:val="0"/>
      <w:marRight w:val="0"/>
      <w:marTop w:val="0"/>
      <w:marBottom w:val="0"/>
      <w:divBdr>
        <w:top w:val="none" w:sz="0" w:space="0" w:color="auto"/>
        <w:left w:val="none" w:sz="0" w:space="0" w:color="auto"/>
        <w:bottom w:val="none" w:sz="0" w:space="0" w:color="auto"/>
        <w:right w:val="none" w:sz="0" w:space="0" w:color="auto"/>
      </w:divBdr>
    </w:div>
    <w:div w:id="1045448947">
      <w:bodyDiv w:val="1"/>
      <w:marLeft w:val="0"/>
      <w:marRight w:val="0"/>
      <w:marTop w:val="0"/>
      <w:marBottom w:val="0"/>
      <w:divBdr>
        <w:top w:val="none" w:sz="0" w:space="0" w:color="auto"/>
        <w:left w:val="none" w:sz="0" w:space="0" w:color="auto"/>
        <w:bottom w:val="none" w:sz="0" w:space="0" w:color="auto"/>
        <w:right w:val="none" w:sz="0" w:space="0" w:color="auto"/>
      </w:divBdr>
      <w:divsChild>
        <w:div w:id="1992978219">
          <w:marLeft w:val="0"/>
          <w:marRight w:val="0"/>
          <w:marTop w:val="400"/>
          <w:marBottom w:val="400"/>
          <w:divBdr>
            <w:top w:val="none" w:sz="0" w:space="0" w:color="auto"/>
            <w:left w:val="none" w:sz="0" w:space="0" w:color="auto"/>
            <w:bottom w:val="none" w:sz="0" w:space="0" w:color="auto"/>
            <w:right w:val="none" w:sz="0" w:space="0" w:color="auto"/>
          </w:divBdr>
          <w:divsChild>
            <w:div w:id="1129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7064">
      <w:bodyDiv w:val="1"/>
      <w:marLeft w:val="0"/>
      <w:marRight w:val="0"/>
      <w:marTop w:val="0"/>
      <w:marBottom w:val="0"/>
      <w:divBdr>
        <w:top w:val="none" w:sz="0" w:space="0" w:color="auto"/>
        <w:left w:val="none" w:sz="0" w:space="0" w:color="auto"/>
        <w:bottom w:val="none" w:sz="0" w:space="0" w:color="auto"/>
        <w:right w:val="none" w:sz="0" w:space="0" w:color="auto"/>
      </w:divBdr>
    </w:div>
    <w:div w:id="1095176778">
      <w:bodyDiv w:val="1"/>
      <w:marLeft w:val="0"/>
      <w:marRight w:val="0"/>
      <w:marTop w:val="0"/>
      <w:marBottom w:val="0"/>
      <w:divBdr>
        <w:top w:val="none" w:sz="0" w:space="0" w:color="auto"/>
        <w:left w:val="none" w:sz="0" w:space="0" w:color="auto"/>
        <w:bottom w:val="none" w:sz="0" w:space="0" w:color="auto"/>
        <w:right w:val="none" w:sz="0" w:space="0" w:color="auto"/>
      </w:divBdr>
    </w:div>
    <w:div w:id="1120685756">
      <w:bodyDiv w:val="1"/>
      <w:marLeft w:val="0"/>
      <w:marRight w:val="0"/>
      <w:marTop w:val="0"/>
      <w:marBottom w:val="0"/>
      <w:divBdr>
        <w:top w:val="none" w:sz="0" w:space="0" w:color="auto"/>
        <w:left w:val="none" w:sz="0" w:space="0" w:color="auto"/>
        <w:bottom w:val="none" w:sz="0" w:space="0" w:color="auto"/>
        <w:right w:val="none" w:sz="0" w:space="0" w:color="auto"/>
      </w:divBdr>
    </w:div>
    <w:div w:id="1155143197">
      <w:bodyDiv w:val="1"/>
      <w:marLeft w:val="0"/>
      <w:marRight w:val="0"/>
      <w:marTop w:val="0"/>
      <w:marBottom w:val="0"/>
      <w:divBdr>
        <w:top w:val="none" w:sz="0" w:space="0" w:color="auto"/>
        <w:left w:val="none" w:sz="0" w:space="0" w:color="auto"/>
        <w:bottom w:val="none" w:sz="0" w:space="0" w:color="auto"/>
        <w:right w:val="none" w:sz="0" w:space="0" w:color="auto"/>
      </w:divBdr>
    </w:div>
    <w:div w:id="1198008481">
      <w:bodyDiv w:val="1"/>
      <w:marLeft w:val="0"/>
      <w:marRight w:val="0"/>
      <w:marTop w:val="0"/>
      <w:marBottom w:val="0"/>
      <w:divBdr>
        <w:top w:val="none" w:sz="0" w:space="0" w:color="auto"/>
        <w:left w:val="none" w:sz="0" w:space="0" w:color="auto"/>
        <w:bottom w:val="none" w:sz="0" w:space="0" w:color="auto"/>
        <w:right w:val="none" w:sz="0" w:space="0" w:color="auto"/>
      </w:divBdr>
      <w:divsChild>
        <w:div w:id="754012303">
          <w:marLeft w:val="0"/>
          <w:marRight w:val="0"/>
          <w:marTop w:val="0"/>
          <w:marBottom w:val="0"/>
          <w:divBdr>
            <w:top w:val="none" w:sz="0" w:space="0" w:color="auto"/>
            <w:left w:val="none" w:sz="0" w:space="0" w:color="auto"/>
            <w:bottom w:val="none" w:sz="0" w:space="0" w:color="auto"/>
            <w:right w:val="none" w:sz="0" w:space="0" w:color="auto"/>
          </w:divBdr>
        </w:div>
      </w:divsChild>
    </w:div>
    <w:div w:id="1200047659">
      <w:bodyDiv w:val="1"/>
      <w:marLeft w:val="0"/>
      <w:marRight w:val="0"/>
      <w:marTop w:val="0"/>
      <w:marBottom w:val="0"/>
      <w:divBdr>
        <w:top w:val="none" w:sz="0" w:space="0" w:color="auto"/>
        <w:left w:val="none" w:sz="0" w:space="0" w:color="auto"/>
        <w:bottom w:val="none" w:sz="0" w:space="0" w:color="auto"/>
        <w:right w:val="none" w:sz="0" w:space="0" w:color="auto"/>
      </w:divBdr>
    </w:div>
    <w:div w:id="1251230687">
      <w:bodyDiv w:val="1"/>
      <w:marLeft w:val="0"/>
      <w:marRight w:val="0"/>
      <w:marTop w:val="0"/>
      <w:marBottom w:val="0"/>
      <w:divBdr>
        <w:top w:val="none" w:sz="0" w:space="0" w:color="auto"/>
        <w:left w:val="none" w:sz="0" w:space="0" w:color="auto"/>
        <w:bottom w:val="none" w:sz="0" w:space="0" w:color="auto"/>
        <w:right w:val="none" w:sz="0" w:space="0" w:color="auto"/>
      </w:divBdr>
    </w:div>
    <w:div w:id="1319306445">
      <w:bodyDiv w:val="1"/>
      <w:marLeft w:val="0"/>
      <w:marRight w:val="0"/>
      <w:marTop w:val="0"/>
      <w:marBottom w:val="0"/>
      <w:divBdr>
        <w:top w:val="none" w:sz="0" w:space="0" w:color="auto"/>
        <w:left w:val="none" w:sz="0" w:space="0" w:color="auto"/>
        <w:bottom w:val="none" w:sz="0" w:space="0" w:color="auto"/>
        <w:right w:val="none" w:sz="0" w:space="0" w:color="auto"/>
      </w:divBdr>
    </w:div>
    <w:div w:id="1335299040">
      <w:bodyDiv w:val="1"/>
      <w:marLeft w:val="0"/>
      <w:marRight w:val="0"/>
      <w:marTop w:val="0"/>
      <w:marBottom w:val="0"/>
      <w:divBdr>
        <w:top w:val="none" w:sz="0" w:space="0" w:color="auto"/>
        <w:left w:val="none" w:sz="0" w:space="0" w:color="auto"/>
        <w:bottom w:val="none" w:sz="0" w:space="0" w:color="auto"/>
        <w:right w:val="none" w:sz="0" w:space="0" w:color="auto"/>
      </w:divBdr>
    </w:div>
    <w:div w:id="1394311129">
      <w:bodyDiv w:val="1"/>
      <w:marLeft w:val="0"/>
      <w:marRight w:val="0"/>
      <w:marTop w:val="0"/>
      <w:marBottom w:val="0"/>
      <w:divBdr>
        <w:top w:val="none" w:sz="0" w:space="0" w:color="auto"/>
        <w:left w:val="none" w:sz="0" w:space="0" w:color="auto"/>
        <w:bottom w:val="none" w:sz="0" w:space="0" w:color="auto"/>
        <w:right w:val="none" w:sz="0" w:space="0" w:color="auto"/>
      </w:divBdr>
      <w:divsChild>
        <w:div w:id="1977687133">
          <w:marLeft w:val="0"/>
          <w:marRight w:val="0"/>
          <w:marTop w:val="0"/>
          <w:marBottom w:val="0"/>
          <w:divBdr>
            <w:top w:val="none" w:sz="0" w:space="0" w:color="auto"/>
            <w:left w:val="none" w:sz="0" w:space="0" w:color="auto"/>
            <w:bottom w:val="none" w:sz="0" w:space="0" w:color="auto"/>
            <w:right w:val="none" w:sz="0" w:space="0" w:color="auto"/>
          </w:divBdr>
          <w:divsChild>
            <w:div w:id="1604262390">
              <w:marLeft w:val="0"/>
              <w:marRight w:val="0"/>
              <w:marTop w:val="0"/>
              <w:marBottom w:val="0"/>
              <w:divBdr>
                <w:top w:val="none" w:sz="0" w:space="0" w:color="auto"/>
                <w:left w:val="none" w:sz="0" w:space="0" w:color="auto"/>
                <w:bottom w:val="none" w:sz="0" w:space="0" w:color="auto"/>
                <w:right w:val="none" w:sz="0" w:space="0" w:color="auto"/>
              </w:divBdr>
              <w:divsChild>
                <w:div w:id="389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298">
      <w:bodyDiv w:val="1"/>
      <w:marLeft w:val="0"/>
      <w:marRight w:val="0"/>
      <w:marTop w:val="0"/>
      <w:marBottom w:val="0"/>
      <w:divBdr>
        <w:top w:val="none" w:sz="0" w:space="0" w:color="auto"/>
        <w:left w:val="none" w:sz="0" w:space="0" w:color="auto"/>
        <w:bottom w:val="none" w:sz="0" w:space="0" w:color="auto"/>
        <w:right w:val="none" w:sz="0" w:space="0" w:color="auto"/>
      </w:divBdr>
    </w:div>
    <w:div w:id="1408845206">
      <w:bodyDiv w:val="1"/>
      <w:marLeft w:val="0"/>
      <w:marRight w:val="0"/>
      <w:marTop w:val="0"/>
      <w:marBottom w:val="0"/>
      <w:divBdr>
        <w:top w:val="none" w:sz="0" w:space="0" w:color="auto"/>
        <w:left w:val="none" w:sz="0" w:space="0" w:color="auto"/>
        <w:bottom w:val="none" w:sz="0" w:space="0" w:color="auto"/>
        <w:right w:val="none" w:sz="0" w:space="0" w:color="auto"/>
      </w:divBdr>
    </w:div>
    <w:div w:id="1429082323">
      <w:bodyDiv w:val="1"/>
      <w:marLeft w:val="0"/>
      <w:marRight w:val="0"/>
      <w:marTop w:val="0"/>
      <w:marBottom w:val="0"/>
      <w:divBdr>
        <w:top w:val="none" w:sz="0" w:space="0" w:color="auto"/>
        <w:left w:val="none" w:sz="0" w:space="0" w:color="auto"/>
        <w:bottom w:val="none" w:sz="0" w:space="0" w:color="auto"/>
        <w:right w:val="none" w:sz="0" w:space="0" w:color="auto"/>
      </w:divBdr>
      <w:divsChild>
        <w:div w:id="1573466463">
          <w:marLeft w:val="0"/>
          <w:marRight w:val="0"/>
          <w:marTop w:val="0"/>
          <w:marBottom w:val="0"/>
          <w:divBdr>
            <w:top w:val="none" w:sz="0" w:space="0" w:color="auto"/>
            <w:left w:val="none" w:sz="0" w:space="0" w:color="auto"/>
            <w:bottom w:val="none" w:sz="0" w:space="0" w:color="auto"/>
            <w:right w:val="none" w:sz="0" w:space="0" w:color="auto"/>
          </w:divBdr>
        </w:div>
      </w:divsChild>
    </w:div>
    <w:div w:id="1510216904">
      <w:bodyDiv w:val="1"/>
      <w:marLeft w:val="0"/>
      <w:marRight w:val="0"/>
      <w:marTop w:val="0"/>
      <w:marBottom w:val="0"/>
      <w:divBdr>
        <w:top w:val="none" w:sz="0" w:space="0" w:color="auto"/>
        <w:left w:val="none" w:sz="0" w:space="0" w:color="auto"/>
        <w:bottom w:val="none" w:sz="0" w:space="0" w:color="auto"/>
        <w:right w:val="none" w:sz="0" w:space="0" w:color="auto"/>
      </w:divBdr>
    </w:div>
    <w:div w:id="1536195580">
      <w:bodyDiv w:val="1"/>
      <w:marLeft w:val="0"/>
      <w:marRight w:val="0"/>
      <w:marTop w:val="0"/>
      <w:marBottom w:val="0"/>
      <w:divBdr>
        <w:top w:val="none" w:sz="0" w:space="0" w:color="auto"/>
        <w:left w:val="none" w:sz="0" w:space="0" w:color="auto"/>
        <w:bottom w:val="none" w:sz="0" w:space="0" w:color="auto"/>
        <w:right w:val="none" w:sz="0" w:space="0" w:color="auto"/>
      </w:divBdr>
      <w:divsChild>
        <w:div w:id="1260481450">
          <w:marLeft w:val="0"/>
          <w:marRight w:val="0"/>
          <w:marTop w:val="0"/>
          <w:marBottom w:val="0"/>
          <w:divBdr>
            <w:top w:val="none" w:sz="0" w:space="0" w:color="auto"/>
            <w:left w:val="none" w:sz="0" w:space="0" w:color="auto"/>
            <w:bottom w:val="none" w:sz="0" w:space="0" w:color="auto"/>
            <w:right w:val="none" w:sz="0" w:space="0" w:color="auto"/>
          </w:divBdr>
        </w:div>
      </w:divsChild>
    </w:div>
    <w:div w:id="1559173588">
      <w:bodyDiv w:val="1"/>
      <w:marLeft w:val="0"/>
      <w:marRight w:val="0"/>
      <w:marTop w:val="0"/>
      <w:marBottom w:val="0"/>
      <w:divBdr>
        <w:top w:val="none" w:sz="0" w:space="0" w:color="auto"/>
        <w:left w:val="none" w:sz="0" w:space="0" w:color="auto"/>
        <w:bottom w:val="none" w:sz="0" w:space="0" w:color="auto"/>
        <w:right w:val="none" w:sz="0" w:space="0" w:color="auto"/>
      </w:divBdr>
    </w:div>
    <w:div w:id="1568302124">
      <w:bodyDiv w:val="1"/>
      <w:marLeft w:val="0"/>
      <w:marRight w:val="0"/>
      <w:marTop w:val="0"/>
      <w:marBottom w:val="0"/>
      <w:divBdr>
        <w:top w:val="none" w:sz="0" w:space="0" w:color="auto"/>
        <w:left w:val="none" w:sz="0" w:space="0" w:color="auto"/>
        <w:bottom w:val="none" w:sz="0" w:space="0" w:color="auto"/>
        <w:right w:val="none" w:sz="0" w:space="0" w:color="auto"/>
      </w:divBdr>
      <w:divsChild>
        <w:div w:id="1102065213">
          <w:marLeft w:val="0"/>
          <w:marRight w:val="0"/>
          <w:marTop w:val="0"/>
          <w:marBottom w:val="0"/>
          <w:divBdr>
            <w:top w:val="none" w:sz="0" w:space="0" w:color="auto"/>
            <w:left w:val="none" w:sz="0" w:space="0" w:color="auto"/>
            <w:bottom w:val="none" w:sz="0" w:space="0" w:color="auto"/>
            <w:right w:val="none" w:sz="0" w:space="0" w:color="auto"/>
          </w:divBdr>
        </w:div>
      </w:divsChild>
    </w:div>
    <w:div w:id="1584679345">
      <w:bodyDiv w:val="1"/>
      <w:marLeft w:val="0"/>
      <w:marRight w:val="0"/>
      <w:marTop w:val="0"/>
      <w:marBottom w:val="0"/>
      <w:divBdr>
        <w:top w:val="none" w:sz="0" w:space="0" w:color="auto"/>
        <w:left w:val="none" w:sz="0" w:space="0" w:color="auto"/>
        <w:bottom w:val="none" w:sz="0" w:space="0" w:color="auto"/>
        <w:right w:val="none" w:sz="0" w:space="0" w:color="auto"/>
      </w:divBdr>
    </w:div>
    <w:div w:id="1621572895">
      <w:bodyDiv w:val="1"/>
      <w:marLeft w:val="0"/>
      <w:marRight w:val="0"/>
      <w:marTop w:val="0"/>
      <w:marBottom w:val="0"/>
      <w:divBdr>
        <w:top w:val="none" w:sz="0" w:space="0" w:color="auto"/>
        <w:left w:val="none" w:sz="0" w:space="0" w:color="auto"/>
        <w:bottom w:val="none" w:sz="0" w:space="0" w:color="auto"/>
        <w:right w:val="none" w:sz="0" w:space="0" w:color="auto"/>
      </w:divBdr>
      <w:divsChild>
        <w:div w:id="1684936481">
          <w:marLeft w:val="0"/>
          <w:marRight w:val="0"/>
          <w:marTop w:val="0"/>
          <w:marBottom w:val="0"/>
          <w:divBdr>
            <w:top w:val="single" w:sz="2" w:space="0" w:color="D9D9E3"/>
            <w:left w:val="single" w:sz="2" w:space="0" w:color="D9D9E3"/>
            <w:bottom w:val="single" w:sz="2" w:space="0" w:color="D9D9E3"/>
            <w:right w:val="single" w:sz="2" w:space="0" w:color="D9D9E3"/>
          </w:divBdr>
          <w:divsChild>
            <w:div w:id="1235776443">
              <w:marLeft w:val="0"/>
              <w:marRight w:val="0"/>
              <w:marTop w:val="0"/>
              <w:marBottom w:val="0"/>
              <w:divBdr>
                <w:top w:val="single" w:sz="2" w:space="0" w:color="D9D9E3"/>
                <w:left w:val="single" w:sz="2" w:space="0" w:color="D9D9E3"/>
                <w:bottom w:val="single" w:sz="2" w:space="0" w:color="D9D9E3"/>
                <w:right w:val="single" w:sz="2" w:space="0" w:color="D9D9E3"/>
              </w:divBdr>
              <w:divsChild>
                <w:div w:id="1839080119">
                  <w:marLeft w:val="0"/>
                  <w:marRight w:val="0"/>
                  <w:marTop w:val="0"/>
                  <w:marBottom w:val="0"/>
                  <w:divBdr>
                    <w:top w:val="single" w:sz="2" w:space="0" w:color="D9D9E3"/>
                    <w:left w:val="single" w:sz="2" w:space="0" w:color="D9D9E3"/>
                    <w:bottom w:val="single" w:sz="2" w:space="0" w:color="D9D9E3"/>
                    <w:right w:val="single" w:sz="2" w:space="0" w:color="D9D9E3"/>
                  </w:divBdr>
                  <w:divsChild>
                    <w:div w:id="226036162">
                      <w:marLeft w:val="0"/>
                      <w:marRight w:val="0"/>
                      <w:marTop w:val="0"/>
                      <w:marBottom w:val="0"/>
                      <w:divBdr>
                        <w:top w:val="single" w:sz="2" w:space="0" w:color="D9D9E3"/>
                        <w:left w:val="single" w:sz="2" w:space="0" w:color="D9D9E3"/>
                        <w:bottom w:val="single" w:sz="2" w:space="0" w:color="D9D9E3"/>
                        <w:right w:val="single" w:sz="2" w:space="0" w:color="D9D9E3"/>
                      </w:divBdr>
                      <w:divsChild>
                        <w:div w:id="586576023">
                          <w:marLeft w:val="0"/>
                          <w:marRight w:val="0"/>
                          <w:marTop w:val="0"/>
                          <w:marBottom w:val="0"/>
                          <w:divBdr>
                            <w:top w:val="none" w:sz="0" w:space="0" w:color="auto"/>
                            <w:left w:val="none" w:sz="0" w:space="0" w:color="auto"/>
                            <w:bottom w:val="none" w:sz="0" w:space="0" w:color="auto"/>
                            <w:right w:val="none" w:sz="0" w:space="0" w:color="auto"/>
                          </w:divBdr>
                          <w:divsChild>
                            <w:div w:id="857887821">
                              <w:marLeft w:val="0"/>
                              <w:marRight w:val="0"/>
                              <w:marTop w:val="100"/>
                              <w:marBottom w:val="100"/>
                              <w:divBdr>
                                <w:top w:val="single" w:sz="2" w:space="0" w:color="D9D9E3"/>
                                <w:left w:val="single" w:sz="2" w:space="0" w:color="D9D9E3"/>
                                <w:bottom w:val="single" w:sz="2" w:space="0" w:color="D9D9E3"/>
                                <w:right w:val="single" w:sz="2" w:space="0" w:color="D9D9E3"/>
                              </w:divBdr>
                              <w:divsChild>
                                <w:div w:id="30887893">
                                  <w:marLeft w:val="0"/>
                                  <w:marRight w:val="0"/>
                                  <w:marTop w:val="0"/>
                                  <w:marBottom w:val="0"/>
                                  <w:divBdr>
                                    <w:top w:val="single" w:sz="2" w:space="0" w:color="D9D9E3"/>
                                    <w:left w:val="single" w:sz="2" w:space="0" w:color="D9D9E3"/>
                                    <w:bottom w:val="single" w:sz="2" w:space="0" w:color="D9D9E3"/>
                                    <w:right w:val="single" w:sz="2" w:space="0" w:color="D9D9E3"/>
                                  </w:divBdr>
                                  <w:divsChild>
                                    <w:div w:id="1353067510">
                                      <w:marLeft w:val="0"/>
                                      <w:marRight w:val="0"/>
                                      <w:marTop w:val="0"/>
                                      <w:marBottom w:val="0"/>
                                      <w:divBdr>
                                        <w:top w:val="single" w:sz="2" w:space="0" w:color="D9D9E3"/>
                                        <w:left w:val="single" w:sz="2" w:space="0" w:color="D9D9E3"/>
                                        <w:bottom w:val="single" w:sz="2" w:space="0" w:color="D9D9E3"/>
                                        <w:right w:val="single" w:sz="2" w:space="0" w:color="D9D9E3"/>
                                      </w:divBdr>
                                      <w:divsChild>
                                        <w:div w:id="1532836540">
                                          <w:marLeft w:val="0"/>
                                          <w:marRight w:val="0"/>
                                          <w:marTop w:val="0"/>
                                          <w:marBottom w:val="0"/>
                                          <w:divBdr>
                                            <w:top w:val="single" w:sz="2" w:space="0" w:color="D9D9E3"/>
                                            <w:left w:val="single" w:sz="2" w:space="0" w:color="D9D9E3"/>
                                            <w:bottom w:val="single" w:sz="2" w:space="0" w:color="D9D9E3"/>
                                            <w:right w:val="single" w:sz="2" w:space="0" w:color="D9D9E3"/>
                                          </w:divBdr>
                                          <w:divsChild>
                                            <w:div w:id="2053767187">
                                              <w:marLeft w:val="0"/>
                                              <w:marRight w:val="0"/>
                                              <w:marTop w:val="0"/>
                                              <w:marBottom w:val="0"/>
                                              <w:divBdr>
                                                <w:top w:val="single" w:sz="2" w:space="0" w:color="D9D9E3"/>
                                                <w:left w:val="single" w:sz="2" w:space="0" w:color="D9D9E3"/>
                                                <w:bottom w:val="single" w:sz="2" w:space="0" w:color="D9D9E3"/>
                                                <w:right w:val="single" w:sz="2" w:space="0" w:color="D9D9E3"/>
                                              </w:divBdr>
                                              <w:divsChild>
                                                <w:div w:id="271867463">
                                                  <w:marLeft w:val="0"/>
                                                  <w:marRight w:val="0"/>
                                                  <w:marTop w:val="0"/>
                                                  <w:marBottom w:val="0"/>
                                                  <w:divBdr>
                                                    <w:top w:val="single" w:sz="2" w:space="0" w:color="D9D9E3"/>
                                                    <w:left w:val="single" w:sz="2" w:space="0" w:color="D9D9E3"/>
                                                    <w:bottom w:val="single" w:sz="2" w:space="0" w:color="D9D9E3"/>
                                                    <w:right w:val="single" w:sz="2" w:space="0" w:color="D9D9E3"/>
                                                  </w:divBdr>
                                                  <w:divsChild>
                                                    <w:div w:id="182282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2285516">
          <w:marLeft w:val="0"/>
          <w:marRight w:val="0"/>
          <w:marTop w:val="0"/>
          <w:marBottom w:val="0"/>
          <w:divBdr>
            <w:top w:val="none" w:sz="0" w:space="0" w:color="auto"/>
            <w:left w:val="none" w:sz="0" w:space="0" w:color="auto"/>
            <w:bottom w:val="none" w:sz="0" w:space="0" w:color="auto"/>
            <w:right w:val="none" w:sz="0" w:space="0" w:color="auto"/>
          </w:divBdr>
        </w:div>
      </w:divsChild>
    </w:div>
    <w:div w:id="1634947106">
      <w:bodyDiv w:val="1"/>
      <w:marLeft w:val="0"/>
      <w:marRight w:val="0"/>
      <w:marTop w:val="0"/>
      <w:marBottom w:val="0"/>
      <w:divBdr>
        <w:top w:val="none" w:sz="0" w:space="0" w:color="auto"/>
        <w:left w:val="none" w:sz="0" w:space="0" w:color="auto"/>
        <w:bottom w:val="none" w:sz="0" w:space="0" w:color="auto"/>
        <w:right w:val="none" w:sz="0" w:space="0" w:color="auto"/>
      </w:divBdr>
    </w:div>
    <w:div w:id="1639216958">
      <w:bodyDiv w:val="1"/>
      <w:marLeft w:val="0"/>
      <w:marRight w:val="0"/>
      <w:marTop w:val="0"/>
      <w:marBottom w:val="0"/>
      <w:divBdr>
        <w:top w:val="none" w:sz="0" w:space="0" w:color="auto"/>
        <w:left w:val="none" w:sz="0" w:space="0" w:color="auto"/>
        <w:bottom w:val="none" w:sz="0" w:space="0" w:color="auto"/>
        <w:right w:val="none" w:sz="0" w:space="0" w:color="auto"/>
      </w:divBdr>
    </w:div>
    <w:div w:id="1679191611">
      <w:bodyDiv w:val="1"/>
      <w:marLeft w:val="0"/>
      <w:marRight w:val="0"/>
      <w:marTop w:val="0"/>
      <w:marBottom w:val="0"/>
      <w:divBdr>
        <w:top w:val="none" w:sz="0" w:space="0" w:color="auto"/>
        <w:left w:val="none" w:sz="0" w:space="0" w:color="auto"/>
        <w:bottom w:val="none" w:sz="0" w:space="0" w:color="auto"/>
        <w:right w:val="none" w:sz="0" w:space="0" w:color="auto"/>
      </w:divBdr>
    </w:div>
    <w:div w:id="1713579321">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816331968">
      <w:bodyDiv w:val="1"/>
      <w:marLeft w:val="0"/>
      <w:marRight w:val="0"/>
      <w:marTop w:val="0"/>
      <w:marBottom w:val="0"/>
      <w:divBdr>
        <w:top w:val="none" w:sz="0" w:space="0" w:color="auto"/>
        <w:left w:val="none" w:sz="0" w:space="0" w:color="auto"/>
        <w:bottom w:val="none" w:sz="0" w:space="0" w:color="auto"/>
        <w:right w:val="none" w:sz="0" w:space="0" w:color="auto"/>
      </w:divBdr>
      <w:divsChild>
        <w:div w:id="1444612510">
          <w:marLeft w:val="0"/>
          <w:marRight w:val="0"/>
          <w:marTop w:val="0"/>
          <w:marBottom w:val="0"/>
          <w:divBdr>
            <w:top w:val="none" w:sz="0" w:space="0" w:color="auto"/>
            <w:left w:val="none" w:sz="0" w:space="0" w:color="auto"/>
            <w:bottom w:val="none" w:sz="0" w:space="0" w:color="auto"/>
            <w:right w:val="none" w:sz="0" w:space="0" w:color="auto"/>
          </w:divBdr>
        </w:div>
      </w:divsChild>
    </w:div>
    <w:div w:id="1875799698">
      <w:bodyDiv w:val="1"/>
      <w:marLeft w:val="0"/>
      <w:marRight w:val="0"/>
      <w:marTop w:val="0"/>
      <w:marBottom w:val="0"/>
      <w:divBdr>
        <w:top w:val="none" w:sz="0" w:space="0" w:color="auto"/>
        <w:left w:val="none" w:sz="0" w:space="0" w:color="auto"/>
        <w:bottom w:val="none" w:sz="0" w:space="0" w:color="auto"/>
        <w:right w:val="none" w:sz="0" w:space="0" w:color="auto"/>
      </w:divBdr>
    </w:div>
    <w:div w:id="1899316583">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5294547">
      <w:bodyDiv w:val="1"/>
      <w:marLeft w:val="0"/>
      <w:marRight w:val="0"/>
      <w:marTop w:val="0"/>
      <w:marBottom w:val="0"/>
      <w:divBdr>
        <w:top w:val="none" w:sz="0" w:space="0" w:color="auto"/>
        <w:left w:val="none" w:sz="0" w:space="0" w:color="auto"/>
        <w:bottom w:val="none" w:sz="0" w:space="0" w:color="auto"/>
        <w:right w:val="none" w:sz="0" w:space="0" w:color="auto"/>
      </w:divBdr>
    </w:div>
    <w:div w:id="1913999370">
      <w:bodyDiv w:val="1"/>
      <w:marLeft w:val="0"/>
      <w:marRight w:val="0"/>
      <w:marTop w:val="0"/>
      <w:marBottom w:val="0"/>
      <w:divBdr>
        <w:top w:val="none" w:sz="0" w:space="0" w:color="auto"/>
        <w:left w:val="none" w:sz="0" w:space="0" w:color="auto"/>
        <w:bottom w:val="none" w:sz="0" w:space="0" w:color="auto"/>
        <w:right w:val="none" w:sz="0" w:space="0" w:color="auto"/>
      </w:divBdr>
    </w:div>
    <w:div w:id="1923560864">
      <w:bodyDiv w:val="1"/>
      <w:marLeft w:val="0"/>
      <w:marRight w:val="0"/>
      <w:marTop w:val="0"/>
      <w:marBottom w:val="0"/>
      <w:divBdr>
        <w:top w:val="none" w:sz="0" w:space="0" w:color="auto"/>
        <w:left w:val="none" w:sz="0" w:space="0" w:color="auto"/>
        <w:bottom w:val="none" w:sz="0" w:space="0" w:color="auto"/>
        <w:right w:val="none" w:sz="0" w:space="0" w:color="auto"/>
      </w:divBdr>
    </w:div>
    <w:div w:id="2003045842">
      <w:bodyDiv w:val="1"/>
      <w:marLeft w:val="0"/>
      <w:marRight w:val="0"/>
      <w:marTop w:val="0"/>
      <w:marBottom w:val="0"/>
      <w:divBdr>
        <w:top w:val="none" w:sz="0" w:space="0" w:color="auto"/>
        <w:left w:val="none" w:sz="0" w:space="0" w:color="auto"/>
        <w:bottom w:val="none" w:sz="0" w:space="0" w:color="auto"/>
        <w:right w:val="none" w:sz="0" w:space="0" w:color="auto"/>
      </w:divBdr>
    </w:div>
    <w:div w:id="2030062820">
      <w:bodyDiv w:val="1"/>
      <w:marLeft w:val="0"/>
      <w:marRight w:val="0"/>
      <w:marTop w:val="0"/>
      <w:marBottom w:val="0"/>
      <w:divBdr>
        <w:top w:val="none" w:sz="0" w:space="0" w:color="auto"/>
        <w:left w:val="none" w:sz="0" w:space="0" w:color="auto"/>
        <w:bottom w:val="none" w:sz="0" w:space="0" w:color="auto"/>
        <w:right w:val="none" w:sz="0" w:space="0" w:color="auto"/>
      </w:divBdr>
      <w:divsChild>
        <w:div w:id="992681924">
          <w:marLeft w:val="0"/>
          <w:marRight w:val="0"/>
          <w:marTop w:val="0"/>
          <w:marBottom w:val="0"/>
          <w:divBdr>
            <w:top w:val="none" w:sz="0" w:space="0" w:color="auto"/>
            <w:left w:val="none" w:sz="0" w:space="0" w:color="auto"/>
            <w:bottom w:val="none" w:sz="0" w:space="0" w:color="auto"/>
            <w:right w:val="none" w:sz="0" w:space="0" w:color="auto"/>
          </w:divBdr>
        </w:div>
      </w:divsChild>
    </w:div>
    <w:div w:id="2041317758">
      <w:bodyDiv w:val="1"/>
      <w:marLeft w:val="0"/>
      <w:marRight w:val="0"/>
      <w:marTop w:val="0"/>
      <w:marBottom w:val="0"/>
      <w:divBdr>
        <w:top w:val="none" w:sz="0" w:space="0" w:color="auto"/>
        <w:left w:val="none" w:sz="0" w:space="0" w:color="auto"/>
        <w:bottom w:val="none" w:sz="0" w:space="0" w:color="auto"/>
        <w:right w:val="none" w:sz="0" w:space="0" w:color="auto"/>
      </w:divBdr>
      <w:divsChild>
        <w:div w:id="1756047568">
          <w:marLeft w:val="0"/>
          <w:marRight w:val="0"/>
          <w:marTop w:val="0"/>
          <w:marBottom w:val="0"/>
          <w:divBdr>
            <w:top w:val="none" w:sz="0" w:space="0" w:color="auto"/>
            <w:left w:val="none" w:sz="0" w:space="0" w:color="auto"/>
            <w:bottom w:val="none" w:sz="0" w:space="0" w:color="auto"/>
            <w:right w:val="none" w:sz="0" w:space="0" w:color="auto"/>
          </w:divBdr>
        </w:div>
      </w:divsChild>
    </w:div>
    <w:div w:id="2102068334">
      <w:bodyDiv w:val="1"/>
      <w:marLeft w:val="0"/>
      <w:marRight w:val="0"/>
      <w:marTop w:val="0"/>
      <w:marBottom w:val="0"/>
      <w:divBdr>
        <w:top w:val="none" w:sz="0" w:space="0" w:color="auto"/>
        <w:left w:val="none" w:sz="0" w:space="0" w:color="auto"/>
        <w:bottom w:val="none" w:sz="0" w:space="0" w:color="auto"/>
        <w:right w:val="none" w:sz="0" w:space="0" w:color="auto"/>
      </w:divBdr>
    </w:div>
    <w:div w:id="2116976130">
      <w:bodyDiv w:val="1"/>
      <w:marLeft w:val="0"/>
      <w:marRight w:val="0"/>
      <w:marTop w:val="0"/>
      <w:marBottom w:val="0"/>
      <w:divBdr>
        <w:top w:val="none" w:sz="0" w:space="0" w:color="auto"/>
        <w:left w:val="none" w:sz="0" w:space="0" w:color="auto"/>
        <w:bottom w:val="none" w:sz="0" w:space="0" w:color="auto"/>
        <w:right w:val="none" w:sz="0" w:space="0" w:color="auto"/>
      </w:divBdr>
    </w:div>
    <w:div w:id="21364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s.sagepub.com/doi/abs/10.1177/10245294221105567" TargetMode="External"/><Relationship Id="rId18" Type="http://schemas.openxmlformats.org/officeDocument/2006/relationships/hyperlink" Target="https://doi.org/10.1108/JEFAS-12-2021-027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90/risks10090168" TargetMode="External"/><Relationship Id="rId7" Type="http://schemas.openxmlformats.org/officeDocument/2006/relationships/footnotes" Target="footnotes.xml"/><Relationship Id="rId12" Type="http://schemas.openxmlformats.org/officeDocument/2006/relationships/hyperlink" Target="https://doi.org/10.1016/j.sftr.2023.100137" TargetMode="External"/><Relationship Id="rId17" Type="http://schemas.openxmlformats.org/officeDocument/2006/relationships/hyperlink" Target="https://www.researchgate.net/publication/372214584_Positivism_and_post-positivism_as_the_basis_of_quantitative_research_in_pedagog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46/annurev-financial-110217-022625" TargetMode="External"/><Relationship Id="rId20" Type="http://schemas.openxmlformats.org/officeDocument/2006/relationships/hyperlink" Target="https://doi.org/10.1016/j.frl.2023.1038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sagepub.com/doi/10.1177/0149206314527128" TargetMode="External"/><Relationship Id="rId24" Type="http://schemas.openxmlformats.org/officeDocument/2006/relationships/hyperlink" Target="https://doi.org/10.1016/j.frl.2020.101597" TargetMode="External"/><Relationship Id="rId5" Type="http://schemas.openxmlformats.org/officeDocument/2006/relationships/settings" Target="settings.xml"/><Relationship Id="rId15" Type="http://schemas.openxmlformats.org/officeDocument/2006/relationships/hyperlink" Target="https://doi.org/10.3390/math11143128" TargetMode="External"/><Relationship Id="rId23" Type="http://schemas.openxmlformats.org/officeDocument/2006/relationships/hyperlink" Target="https://doi.org/10.3389/fpsyg.2020.600570" TargetMode="External"/><Relationship Id="rId10" Type="http://schemas.openxmlformats.org/officeDocument/2006/relationships/hyperlink" Target="https://www.redalyc.org/journal/6922/692272863007/html/" TargetMode="External"/><Relationship Id="rId19" Type="http://schemas.openxmlformats.org/officeDocument/2006/relationships/hyperlink" Target="https://doi.org/10.3390/bs1308062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3390/economies11060155" TargetMode="External"/><Relationship Id="rId22" Type="http://schemas.openxmlformats.org/officeDocument/2006/relationships/hyperlink" Target="https://doi.org/10.1016/j.jbef.2021.100499"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DA8F-3F65-4772-9CEC-AD8BCC7D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10</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414</cp:revision>
  <dcterms:created xsi:type="dcterms:W3CDTF">2022-07-14T09:43:00Z</dcterms:created>
  <dcterms:modified xsi:type="dcterms:W3CDTF">2023-11-17T07:08:00Z</dcterms:modified>
</cp:coreProperties>
</file>