
<file path=[Content_Types].xml><?xml version="1.0" encoding="utf-8"?>
<Types xmlns="http://schemas.openxmlformats.org/package/2006/content-types">
  <Default Extension="xml" ContentType="application/xml"/>
  <Default Extension="png" ContentType="image/png"/>
  <Default Extension="wdp" ContentType="image/vnd.ms-photo"/>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587B81">
      <w:pPr>
        <w:rPr>
          <w:rFonts w:eastAsia="Calibri" w:cs="Times New Roman"/>
          <w:szCs w:val="24"/>
          <w:highlight w:val="none"/>
          <w:lang w:val="en-US"/>
        </w:rPr>
      </w:pPr>
    </w:p>
    <w:p w14:paraId="00E61B46">
      <w:pPr>
        <w:rPr>
          <w:rFonts w:eastAsia="Calibri" w:cs="Times New Roman"/>
          <w:szCs w:val="24"/>
          <w:highlight w:val="none"/>
          <w:lang w:val="en-US"/>
        </w:rPr>
      </w:pPr>
    </w:p>
    <w:p w14:paraId="5E63036B">
      <w:pPr>
        <w:rPr>
          <w:rFonts w:eastAsia="Calibri" w:cs="Times New Roman"/>
          <w:szCs w:val="24"/>
          <w:highlight w:val="none"/>
          <w:lang w:val="en-US"/>
        </w:rPr>
      </w:pPr>
    </w:p>
    <w:p w14:paraId="0D739D04">
      <w:pPr>
        <w:rPr>
          <w:rFonts w:eastAsia="Calibri" w:cs="Times New Roman"/>
          <w:szCs w:val="24"/>
          <w:highlight w:val="none"/>
          <w:lang w:val="en-US"/>
        </w:rPr>
      </w:pPr>
    </w:p>
    <w:p w14:paraId="6E83ECA9">
      <w:pPr>
        <w:rPr>
          <w:rFonts w:eastAsia="Calibri" w:cs="Times New Roman"/>
          <w:szCs w:val="24"/>
          <w:highlight w:val="none"/>
          <w:lang w:val="en-US"/>
        </w:rPr>
      </w:pPr>
      <w:bookmarkStart w:id="1" w:name="_GoBack"/>
      <w:bookmarkEnd w:id="1"/>
    </w:p>
    <w:p w14:paraId="524DFA05">
      <w:pPr>
        <w:tabs>
          <w:tab w:val="left" w:pos="8070"/>
        </w:tabs>
        <w:rPr>
          <w:rFonts w:eastAsia="Calibri" w:cs="Times New Roman"/>
          <w:szCs w:val="24"/>
          <w:highlight w:val="none"/>
          <w:lang w:val="en-US"/>
        </w:rPr>
      </w:pPr>
      <w:r>
        <w:rPr>
          <w:rFonts w:eastAsia="Calibri" w:cs="Times New Roman"/>
          <w:szCs w:val="24"/>
          <w:highlight w:val="none"/>
          <w:lang w:val="en-US"/>
        </w:rPr>
        <w:tab/>
      </w:r>
    </w:p>
    <w:p w14:paraId="1D02D570">
      <w:pPr>
        <w:jc w:val="center"/>
        <w:rPr>
          <w:rFonts w:asciiTheme="majorBidi" w:hAnsiTheme="majorBidi" w:cstheme="majorBidi"/>
          <w:b/>
          <w:bCs/>
          <w:color w:val="222222"/>
          <w:highlight w:val="none"/>
          <w:shd w:val="clear" w:color="auto" w:fill="FFFFFF"/>
          <w:lang w:val="en-US"/>
        </w:rPr>
      </w:pPr>
      <w:bookmarkStart w:id="0" w:name="_Hlk142555883"/>
      <w:r>
        <w:rPr>
          <w:rFonts w:asciiTheme="majorBidi" w:hAnsiTheme="majorBidi" w:cstheme="majorBidi"/>
          <w:b/>
          <w:bCs/>
          <w:color w:val="222222"/>
          <w:highlight w:val="none"/>
          <w:shd w:val="clear" w:color="auto" w:fill="FFFFFF"/>
          <w:lang w:val="en-US"/>
        </w:rPr>
        <w:t>Analysing Major Challenges In Effective Implementation Of Quality Management System In Construction Organizations In The KSA</w:t>
      </w:r>
    </w:p>
    <w:bookmarkEnd w:id="0"/>
    <w:p w14:paraId="6A9A30AB">
      <w:pPr>
        <w:jc w:val="center"/>
        <w:rPr>
          <w:rFonts w:eastAsia="Calibri" w:cs="Times New Roman"/>
          <w:szCs w:val="24"/>
          <w:highlight w:val="none"/>
          <w:lang w:val="en-US"/>
        </w:rPr>
      </w:pPr>
      <w:r>
        <w:rPr>
          <w:rFonts w:eastAsia="Calibri" w:cs="Times New Roman"/>
          <w:szCs w:val="24"/>
          <w:highlight w:val="none"/>
          <w:lang w:val="en-US"/>
        </w:rPr>
        <w:t xml:space="preserve"> [Name of Student]</w:t>
      </w:r>
    </w:p>
    <w:p w14:paraId="45EBA206">
      <w:pPr>
        <w:jc w:val="center"/>
        <w:rPr>
          <w:rFonts w:eastAsia="Calibri" w:cs="Times New Roman"/>
          <w:szCs w:val="24"/>
          <w:highlight w:val="none"/>
          <w:lang w:val="en-US"/>
        </w:rPr>
      </w:pPr>
      <w:r>
        <w:rPr>
          <w:rFonts w:eastAsia="Calibri" w:cs="Times New Roman"/>
          <w:szCs w:val="24"/>
          <w:highlight w:val="none"/>
          <w:lang w:val="en-US"/>
        </w:rPr>
        <w:t>[Name of Institute]</w:t>
      </w:r>
    </w:p>
    <w:p w14:paraId="173956D0">
      <w:pPr>
        <w:jc w:val="center"/>
        <w:rPr>
          <w:rFonts w:eastAsia="Calibri" w:cs="Times New Roman"/>
          <w:szCs w:val="24"/>
          <w:highlight w:val="none"/>
          <w:lang w:val="en-US"/>
        </w:rPr>
      </w:pPr>
      <w:r>
        <w:rPr>
          <w:rFonts w:eastAsia="Calibri" w:cs="Times New Roman"/>
          <w:szCs w:val="24"/>
          <w:highlight w:val="none"/>
          <w:lang w:val="en-US"/>
        </w:rPr>
        <w:t>[Date]</w:t>
      </w:r>
    </w:p>
    <w:p w14:paraId="579F0CFD">
      <w:pPr>
        <w:rPr>
          <w:highlight w:val="none"/>
          <w:lang w:val="en-US"/>
        </w:rPr>
      </w:pPr>
    </w:p>
    <w:p w14:paraId="4F891287">
      <w:pPr>
        <w:rPr>
          <w:highlight w:val="none"/>
          <w:lang w:val="en-US"/>
        </w:rPr>
      </w:pPr>
    </w:p>
    <w:p w14:paraId="2777F9A4">
      <w:pPr>
        <w:rPr>
          <w:highlight w:val="none"/>
          <w:lang w:val="en-US"/>
        </w:rPr>
      </w:pPr>
    </w:p>
    <w:p w14:paraId="27CB1DBE">
      <w:pPr>
        <w:rPr>
          <w:highlight w:val="none"/>
          <w:lang w:val="en-US"/>
        </w:rPr>
      </w:pPr>
    </w:p>
    <w:p w14:paraId="7A42157A">
      <w:pPr>
        <w:rPr>
          <w:highlight w:val="none"/>
          <w:lang w:val="en-US"/>
        </w:rPr>
      </w:pPr>
    </w:p>
    <w:p w14:paraId="20D53521">
      <w:pPr>
        <w:rPr>
          <w:highlight w:val="none"/>
          <w:lang w:val="en-US"/>
        </w:rPr>
      </w:pPr>
    </w:p>
    <w:p w14:paraId="64E68F50">
      <w:pPr>
        <w:rPr>
          <w:highlight w:val="none"/>
          <w:lang w:val="en-US"/>
        </w:rPr>
      </w:pPr>
    </w:p>
    <w:p w14:paraId="025C7DCE">
      <w:pPr>
        <w:rPr>
          <w:highlight w:val="none"/>
          <w:lang w:val="en-US"/>
        </w:rPr>
        <w:sectPr>
          <w:headerReference r:id="rId5" w:type="default"/>
          <w:pgSz w:w="12240" w:h="15840"/>
          <w:pgMar w:top="1440" w:right="1440" w:bottom="1440" w:left="1440" w:header="708" w:footer="708" w:gutter="0"/>
          <w:cols w:space="708" w:num="1"/>
          <w:docGrid w:linePitch="360" w:charSpace="0"/>
        </w:sectPr>
      </w:pPr>
    </w:p>
    <w:p w14:paraId="4D55279A">
      <w:pPr>
        <w:pStyle w:val="2"/>
        <w:numPr>
          <w:ilvl w:val="0"/>
          <w:numId w:val="0"/>
        </w:numPr>
        <w:ind w:left="432" w:hanging="432"/>
        <w:jc w:val="left"/>
        <w:rPr>
          <w:sz w:val="32"/>
          <w:szCs w:val="40"/>
          <w:highlight w:val="none"/>
          <w:u w:val="double"/>
          <w:lang w:val="en-US"/>
        </w:rPr>
      </w:pPr>
      <w:r>
        <w:rPr>
          <w:sz w:val="32"/>
          <w:szCs w:val="40"/>
          <w:highlight w:val="none"/>
          <w:u w:val="double"/>
          <w:lang w:val="en-US"/>
        </w:rPr>
        <w:t>CHAPTER ONE</w:t>
      </w:r>
    </w:p>
    <w:p w14:paraId="4331404F">
      <w:pPr>
        <w:pStyle w:val="2"/>
        <w:rPr>
          <w:highlight w:val="none"/>
          <w:lang w:val="en-US"/>
        </w:rPr>
      </w:pPr>
      <w:r>
        <w:rPr>
          <w:highlight w:val="none"/>
          <w:lang w:val="en-US"/>
        </w:rPr>
        <w:t>Introduction</w:t>
      </w:r>
    </w:p>
    <w:p w14:paraId="288E71F8">
      <w:pPr>
        <w:pStyle w:val="3"/>
        <w:rPr>
          <w:highlight w:val="none"/>
          <w:lang w:val="en-US"/>
        </w:rPr>
      </w:pPr>
      <w:r>
        <w:rPr>
          <w:highlight w:val="none"/>
          <w:lang w:val="en-US"/>
        </w:rPr>
        <w:t>Background of the Study</w:t>
      </w:r>
    </w:p>
    <w:p w14:paraId="057F49B7">
      <w:pPr>
        <w:pStyle w:val="4"/>
        <w:rPr>
          <w:highlight w:val="none"/>
          <w:lang w:val="en-US"/>
        </w:rPr>
      </w:pPr>
      <w:r>
        <w:rPr>
          <w:highlight w:val="none"/>
          <w:lang w:val="en-US"/>
        </w:rPr>
        <w:t>Construction Industry of Saudi Arabia</w:t>
      </w:r>
    </w:p>
    <w:p w14:paraId="3D7EADD4">
      <w:pPr>
        <w:ind w:firstLine="720"/>
        <w:rPr>
          <w:highlight w:val="none"/>
        </w:rPr>
      </w:pPr>
      <w:r>
        <w:rPr>
          <w:highlight w:val="none"/>
          <w:lang w:val="en-US"/>
        </w:rPr>
        <w:t xml:space="preserve">The Kingdom of Saudi Arabia (KSA) acknowledged the construction sector as a critical component of its economic growth. This crucial industry substantially contributed to the nation's economy and overall growth. The construction sector is at the forefront of encouraging progress in the nation due to its enormous potential for creating jobs and improving infrastructure (Azmi et al., 2022). The construction sector in the KSA has increased in recent years, and as a result, so has its share of the country's GDP. Saudi Arabia's GDP from construction climbed from 30735 SAR in the fourth quarter of 2022 to 30864 SAR in the first quarter of 2023 </w:t>
      </w:r>
      <w:r>
        <w:rPr>
          <w:highlight w:val="none"/>
        </w:rPr>
        <w:t>(Tradingeconomics.com, 2023)</w:t>
      </w:r>
      <w:r>
        <w:rPr>
          <w:highlight w:val="none"/>
          <w:lang w:val="en-US"/>
        </w:rPr>
        <w:t xml:space="preserve">. The sector's continuing growth not only improved economic metrics but also acted as a spark for several adjacent businesses, having a knock-on effect on the economy as a whole. Additionally, an enormous section of the workforce in the nation had employment options thanks to the building industry, which made an immense contribution to job creation (Al-Jarf et al., 2022). The need for specialists and skilled labor in the construction industry is growing, promoting more economic involvement and better living conditions for Saudi citizens. </w:t>
      </w:r>
    </w:p>
    <w:p w14:paraId="4226E4E8">
      <w:pPr>
        <w:ind w:firstLine="576"/>
        <w:rPr>
          <w:highlight w:val="none"/>
          <w:lang w:val="en-US"/>
        </w:rPr>
      </w:pPr>
      <w:r>
        <w:rPr>
          <w:highlight w:val="none"/>
          <w:lang w:val="en-US"/>
        </w:rPr>
        <w:t xml:space="preserve">Moreover, the government's dedication to major infrastructure projects is one of the factors fueling Saudi Arabia's current construction boom. The nation places high importance on infrastructure investment since it facilitates transportation, improves connectivity, and supports the expansion of several industries, including tourism, logistics, and manufacturing. New cities, airports, seaports, highways, and public facilities are among the ambitious projects started, increasing demand for construction services and luring international capital </w:t>
      </w:r>
      <w:r>
        <w:rPr>
          <w:rFonts w:eastAsia="Times New Roman" w:cs="Times New Roman"/>
          <w:color w:val="000000"/>
          <w:szCs w:val="24"/>
          <w:highlight w:val="none"/>
        </w:rPr>
        <w:t>(</w:t>
      </w:r>
      <w:r>
        <w:rPr>
          <w:highlight w:val="none"/>
          <w:shd w:val="clear" w:color="auto" w:fill="FFFFFF"/>
        </w:rPr>
        <w:t>Alghamdi et al., 2022)</w:t>
      </w:r>
      <w:r>
        <w:rPr>
          <w:highlight w:val="none"/>
          <w:lang w:val="en-US"/>
        </w:rPr>
        <w:t>. The Kingdom of Saudi Arabia's construction sector is a crucial economic expansion and development engine. Its contributions to the GDP, creating jobs, and improving infrastructure highlight its importance to the country's growth. With the government's continuing support and investment in ambitious projects, the construction industry is prepared for additional analyse encouraging prosperity and sustainable development in the following years.</w:t>
      </w:r>
    </w:p>
    <w:p w14:paraId="78A537D7">
      <w:pPr>
        <w:pStyle w:val="4"/>
        <w:rPr>
          <w:highlight w:val="none"/>
          <w:lang w:val="en-US"/>
        </w:rPr>
      </w:pPr>
      <w:r>
        <w:rPr>
          <w:highlight w:val="none"/>
          <w:lang w:val="en-US"/>
        </w:rPr>
        <w:t>Quality Management System</w:t>
      </w:r>
    </w:p>
    <w:p w14:paraId="1D2A768B">
      <w:pPr>
        <w:ind w:firstLine="720"/>
        <w:rPr>
          <w:rFonts w:eastAsia="Times New Roman" w:cs="Times New Roman"/>
          <w:color w:val="000000"/>
          <w:szCs w:val="24"/>
          <w:highlight w:val="none"/>
        </w:rPr>
      </w:pPr>
      <w:r>
        <w:rPr>
          <w:highlight w:val="none"/>
          <w:lang w:val="en-US"/>
        </w:rPr>
        <w:t xml:space="preserve">To guarantee the supply of high-quality goods and services in the dynamic construction sector, a solid Quality Management System (QMS) must be implemented. The QMS functioned as a systematic strategy to manage processes, procedures, and regulations, emphasising quality and consistency and ensuring that construction projects meet or surpass client expectations (FEYERA, 2020). The 14 Point Foundational work of Deming and the concepts of Total Quality Management (TQM) served as the foundation for QMS as it developed into a complete framework that motivates organisations to attain and uphold the highest levels of quality </w:t>
      </w:r>
      <w:r>
        <w:rPr>
          <w:rFonts w:eastAsia="Times New Roman" w:cs="Times New Roman"/>
          <w:color w:val="000000"/>
          <w:szCs w:val="24"/>
          <w:highlight w:val="none"/>
        </w:rPr>
        <w:t>(</w:t>
      </w:r>
      <w:r>
        <w:rPr>
          <w:highlight w:val="none"/>
          <w:shd w:val="clear" w:color="auto" w:fill="FFFFFF"/>
        </w:rPr>
        <w:t>Aichouni et al., 2023)</w:t>
      </w:r>
      <w:r>
        <w:rPr>
          <w:highlight w:val="none"/>
          <w:lang w:val="en-US"/>
        </w:rPr>
        <w:t xml:space="preserve">. Organisations that adopted the PDCA (Plan-do-Check-Act) cycle, as outlined in the ISO 9001 standard, principally made sure that their operations were continuously improving. </w:t>
      </w:r>
    </w:p>
    <w:p w14:paraId="47B8D1F2">
      <w:pPr>
        <w:ind w:firstLine="720"/>
        <w:rPr>
          <w:highlight w:val="none"/>
          <w:shd w:val="clear" w:color="auto" w:fill="FFFFFF"/>
        </w:rPr>
      </w:pPr>
      <w:r>
        <w:rPr>
          <w:highlight w:val="none"/>
          <w:lang w:val="en-US"/>
        </w:rPr>
        <w:t xml:space="preserve">The QMS's focus on customer satisfaction is one of its key benefits for the construction sector. Organisations could meet and exceed client expectations by carefully analysing customer needs and aligning project outputs accordingly. Client satisfaction increased the likelihood of giving favourable feedback, which enhanced the brand's reputation and opened up additional options for future initiatives </w:t>
      </w:r>
      <w:r>
        <w:rPr>
          <w:highlight w:val="none"/>
          <w:shd w:val="clear" w:color="auto" w:fill="FFFFFF"/>
        </w:rPr>
        <w:t>(Mon, 2020)</w:t>
      </w:r>
      <w:r>
        <w:rPr>
          <w:highlight w:val="none"/>
          <w:lang w:val="en-US"/>
        </w:rPr>
        <w:t>. In addition to that, from the beginning to the end of the building project, QMS delivered an organised and disciplined approach. It allowed construction organisations to retain uniformity and efficiency while minimising mistakes and rework by establishing defined procedures and explicit quality targets. The QMS developed a quality culture throughout the company, encouraging a shared dedication to excellence among all workers through efficient execution (Leonov et al., 2022). Hence, implementing a thorough quality management system is essential to accomplishing customer happiness and the success of building projects. However, there are several difficulties in applying QMS in the KSA building organisation. The thesis aims to analyse the barriers to and influences supporting the successful adoption of the Quality Management System (QMS) in construction organisations throughout the Kingdom of Saudi Arabia (KSA).</w:t>
      </w:r>
    </w:p>
    <w:p w14:paraId="55580A6E">
      <w:pPr>
        <w:pStyle w:val="3"/>
        <w:rPr>
          <w:highlight w:val="none"/>
          <w:lang w:val="en-US"/>
        </w:rPr>
      </w:pPr>
      <w:r>
        <w:rPr>
          <w:highlight w:val="none"/>
          <w:lang w:val="en-US"/>
        </w:rPr>
        <w:t>Research Problem</w:t>
      </w:r>
    </w:p>
    <w:p w14:paraId="0374D409">
      <w:pPr>
        <w:ind w:firstLine="576"/>
        <w:rPr>
          <w:highlight w:val="none"/>
          <w:shd w:val="clear" w:color="auto" w:fill="FFFFFF"/>
        </w:rPr>
      </w:pPr>
      <w:r>
        <w:rPr>
          <w:highlight w:val="none"/>
          <w:lang w:val="en-US"/>
        </w:rPr>
        <w:t xml:space="preserve">Several significant obstacles prevent the proper adoption of Quality Management Systems (QMS). These issues were widespread in the Kingdom of Saudi Arabia (KSA) and other nations. The main challenges to implementing a QMS successfully in the construction industry included a shortage of experienced employees, the widespread practice of awarding contracts to the lowest bidder, dysfunctional team chemistry, and several onerous building codes. Inadequate resource allocation, resistance to change, and a lack of awareness and comprehension of QMS were other issues that construction businesses ran with. The construction sector significantly relied on a trained and competent workforce to ensure the completion of high-quality projects. Hence the need for more skilled employees constituted a severe difficulty (Brooks et al., 2021). Additionally, simply relying on the lowest bidder to award contracts resulted in project quality compromises and had a detrimental influence on the efficiency of QMS. The execution of the QMS was further hampered, and project results were compromised by ineffective team dynamics that arose due to communication breakdowns or a lack of cooperation. Similarly, the unwillingness of stakeholders to adopt new procedures and methods is a significant impediment to the adoption of QMS </w:t>
      </w:r>
      <w:r>
        <w:rPr>
          <w:highlight w:val="none"/>
          <w:shd w:val="clear" w:color="auto" w:fill="FFFFFF"/>
        </w:rPr>
        <w:t>(Tachie and Mancotywa, 2021)</w:t>
      </w:r>
      <w:r>
        <w:rPr>
          <w:highlight w:val="none"/>
          <w:lang w:val="en-US"/>
        </w:rPr>
        <w:t>. This opposition delayed the QMS's potential benefits for the organisation and hampered a seamless transition.</w:t>
      </w:r>
    </w:p>
    <w:p w14:paraId="33FA9E01">
      <w:pPr>
        <w:ind w:firstLine="576"/>
        <w:rPr>
          <w:highlight w:val="none"/>
          <w:lang w:val="en-US"/>
        </w:rPr>
      </w:pPr>
      <w:r>
        <w:rPr>
          <w:highlight w:val="none"/>
          <w:lang w:val="en-US"/>
        </w:rPr>
        <w:t>Furthermore, multiple severe building rules presented compliance difficulties for the construction industry, making it more difficult to apply uniform quality standards. In addition, employees' ignorance and need for more comprehension of QMS principles could have improved their successful incorporation into everyday operations. Construction organisations are advised to give their staff thorough training and education on QMS concepts and practices to solve these issues and guarantee effective QMS implementation (Ahmed, 2020). By solving these issues, construction organizations could improve the QMS implementation more successfully, resulting in better project results, increased customer satisfaction, and long-term industry growth. Based on the findings, recommendations will be made to ensure that staff members receive enough training and education to improve their knowledge of and understanding of QMS concepts and practices.</w:t>
      </w:r>
    </w:p>
    <w:p w14:paraId="0DD5CBF5">
      <w:pPr>
        <w:pStyle w:val="3"/>
        <w:rPr>
          <w:highlight w:val="none"/>
          <w:lang w:val="en-US"/>
        </w:rPr>
      </w:pPr>
      <w:r>
        <w:rPr>
          <w:highlight w:val="none"/>
          <w:lang w:val="en-US"/>
        </w:rPr>
        <w:t>Research Objectives</w:t>
      </w:r>
    </w:p>
    <w:p w14:paraId="1E916F34">
      <w:pPr>
        <w:ind w:firstLine="360"/>
        <w:rPr>
          <w:highlight w:val="none"/>
          <w:lang w:val="en-US"/>
        </w:rPr>
      </w:pPr>
      <w:r>
        <w:rPr>
          <w:highlight w:val="none"/>
          <w:lang w:val="en-US"/>
        </w:rPr>
        <w:t>These are some of the study's particular research objectives;</w:t>
      </w:r>
    </w:p>
    <w:p w14:paraId="7DBEBC75">
      <w:pPr>
        <w:pStyle w:val="36"/>
        <w:numPr>
          <w:ilvl w:val="0"/>
          <w:numId w:val="2"/>
        </w:numPr>
        <w:spacing w:line="276" w:lineRule="auto"/>
        <w:rPr>
          <w:highlight w:val="none"/>
          <w:lang w:val="en-US"/>
        </w:rPr>
      </w:pPr>
      <w:r>
        <w:rPr>
          <w:highlight w:val="none"/>
          <w:lang w:val="en-US"/>
        </w:rPr>
        <w:t>To analyse the key components of Quality Management Systems in Construction Organizations.</w:t>
      </w:r>
    </w:p>
    <w:p w14:paraId="2BCCE1D8">
      <w:pPr>
        <w:pStyle w:val="36"/>
        <w:numPr>
          <w:ilvl w:val="0"/>
          <w:numId w:val="2"/>
        </w:numPr>
        <w:spacing w:line="276" w:lineRule="auto"/>
        <w:rPr>
          <w:highlight w:val="none"/>
          <w:lang w:val="en-US"/>
        </w:rPr>
      </w:pPr>
      <w:r>
        <w:rPr>
          <w:highlight w:val="none"/>
          <w:lang w:val="en-US"/>
        </w:rPr>
        <w:t xml:space="preserve">To examine the benefits of implementing a Quality Management System (QMS) in construction organisations in the KSA. </w:t>
      </w:r>
    </w:p>
    <w:p w14:paraId="15E8C256">
      <w:pPr>
        <w:pStyle w:val="36"/>
        <w:numPr>
          <w:ilvl w:val="0"/>
          <w:numId w:val="2"/>
        </w:numPr>
        <w:spacing w:line="276" w:lineRule="auto"/>
        <w:rPr>
          <w:highlight w:val="none"/>
          <w:lang w:val="en-US"/>
        </w:rPr>
      </w:pPr>
      <w:r>
        <w:rPr>
          <w:highlight w:val="none"/>
          <w:lang w:val="en-US"/>
        </w:rPr>
        <w:t xml:space="preserve">To identify and analyse significant challenges faced by construction organisations in the KSA during the implementation of QMS. </w:t>
      </w:r>
    </w:p>
    <w:p w14:paraId="1BCA8531">
      <w:pPr>
        <w:pStyle w:val="36"/>
        <w:numPr>
          <w:ilvl w:val="0"/>
          <w:numId w:val="2"/>
        </w:numPr>
        <w:spacing w:line="276" w:lineRule="auto"/>
        <w:rPr>
          <w:highlight w:val="none"/>
          <w:lang w:val="en-US"/>
        </w:rPr>
      </w:pPr>
      <w:r>
        <w:rPr>
          <w:highlight w:val="none"/>
          <w:lang w:val="en-US"/>
        </w:rPr>
        <w:t>To recommend strategies and best practices for successful QMS implementation in construction organisations in the KSA.</w:t>
      </w:r>
    </w:p>
    <w:p w14:paraId="08F6B3F1">
      <w:pPr>
        <w:pStyle w:val="3"/>
        <w:rPr>
          <w:highlight w:val="none"/>
          <w:lang w:val="en-US"/>
        </w:rPr>
      </w:pPr>
      <w:r>
        <w:rPr>
          <w:highlight w:val="none"/>
          <w:lang w:val="en-US"/>
        </w:rPr>
        <w:t>Research Questions</w:t>
      </w:r>
    </w:p>
    <w:p w14:paraId="38ED930F">
      <w:pPr>
        <w:ind w:firstLine="576"/>
        <w:rPr>
          <w:highlight w:val="none"/>
          <w:lang w:val="en-US"/>
        </w:rPr>
      </w:pPr>
      <w:r>
        <w:rPr>
          <w:highlight w:val="none"/>
          <w:lang w:val="en-US"/>
        </w:rPr>
        <w:t>In the study, the following research questions will be addressed;</w:t>
      </w:r>
    </w:p>
    <w:p w14:paraId="7620BD49">
      <w:pPr>
        <w:pStyle w:val="36"/>
        <w:numPr>
          <w:ilvl w:val="0"/>
          <w:numId w:val="3"/>
        </w:numPr>
        <w:spacing w:line="276" w:lineRule="auto"/>
        <w:rPr>
          <w:highlight w:val="none"/>
          <w:lang w:val="en-US"/>
        </w:rPr>
      </w:pPr>
      <w:r>
        <w:rPr>
          <w:highlight w:val="none"/>
          <w:lang w:val="en-US"/>
        </w:rPr>
        <w:t>What are the benefits of implementing QMS in construction organisations in the KSA?</w:t>
      </w:r>
    </w:p>
    <w:p w14:paraId="4C1A579A">
      <w:pPr>
        <w:pStyle w:val="36"/>
        <w:numPr>
          <w:ilvl w:val="0"/>
          <w:numId w:val="3"/>
        </w:numPr>
        <w:spacing w:line="276" w:lineRule="auto"/>
        <w:rPr>
          <w:highlight w:val="none"/>
          <w:lang w:val="en-US"/>
        </w:rPr>
      </w:pPr>
      <w:r>
        <w:rPr>
          <w:highlight w:val="none"/>
          <w:lang w:val="en-US"/>
        </w:rPr>
        <w:t>What are the significant challenges construction organisations face in the KSA during QMS implementation?</w:t>
      </w:r>
    </w:p>
    <w:p w14:paraId="20D7F44D">
      <w:pPr>
        <w:pStyle w:val="36"/>
        <w:numPr>
          <w:ilvl w:val="0"/>
          <w:numId w:val="3"/>
        </w:numPr>
        <w:spacing w:line="276" w:lineRule="auto"/>
        <w:rPr>
          <w:highlight w:val="none"/>
          <w:lang w:val="en-US"/>
        </w:rPr>
      </w:pPr>
      <w:r>
        <w:rPr>
          <w:highlight w:val="none"/>
          <w:lang w:val="en-US"/>
        </w:rPr>
        <w:t>What are the best practices for successful QMS implementation in construction organisations in the KSA?</w:t>
      </w:r>
    </w:p>
    <w:p w14:paraId="613FAC94">
      <w:pPr>
        <w:pStyle w:val="3"/>
        <w:rPr>
          <w:highlight w:val="none"/>
          <w:lang w:val="en-US"/>
        </w:rPr>
      </w:pPr>
      <w:r>
        <w:rPr>
          <w:highlight w:val="none"/>
          <w:lang w:val="en-US"/>
        </w:rPr>
        <w:t>Significance of the Study</w:t>
      </w:r>
    </w:p>
    <w:p w14:paraId="37E2FEF1">
      <w:pPr>
        <w:ind w:firstLine="576"/>
        <w:rPr>
          <w:highlight w:val="none"/>
          <w:lang w:val="en-US"/>
        </w:rPr>
      </w:pPr>
      <w:r>
        <w:rPr>
          <w:highlight w:val="none"/>
          <w:lang w:val="en-US"/>
        </w:rPr>
        <w:t>The study has great potential to advance Saudi Arabia's building sector. The research would provide solid frameworks that improve project results and customer satisfaction by looking at important QMS components. Exploring the advantages of implementing a QMS led more businesses to do so, which enhanced project effectiveness, cost-effectiveness, and risk management. Furthermore, the research would help stakeholders create successful plans for QMS integration by highlighting issues and making suggestions. In the end, this study has the potential to promote a culture of excellence and quality, raising building standards in the KSA and enhancing the sector's and society’s overall welfare.</w:t>
      </w:r>
    </w:p>
    <w:p w14:paraId="6234B188">
      <w:pPr>
        <w:pStyle w:val="3"/>
        <w:rPr>
          <w:highlight w:val="none"/>
          <w:lang w:val="en-US"/>
        </w:rPr>
      </w:pPr>
      <w:r>
        <w:rPr>
          <w:highlight w:val="none"/>
          <w:lang w:val="en-US"/>
        </w:rPr>
        <w:t>Study Structure</w:t>
      </w:r>
    </w:p>
    <w:p w14:paraId="39ABBDFD">
      <w:pPr>
        <w:ind w:firstLine="576"/>
        <w:rPr>
          <w:highlight w:val="none"/>
          <w:lang w:val="en-US"/>
        </w:rPr>
      </w:pPr>
      <w:r>
        <w:rPr>
          <w:highlight w:val="none"/>
          <w:lang w:val="en-US"/>
        </w:rPr>
        <w:t>The study constructs its structure using a suitable methodology to aid in comprehending the research process. The background information on the construction industry in KSA is presented in Chapter 1, along with the implications of the QMS and the issue definition, objectives, and research design. A literature review is included in Chapter 2. The study's techniques and materials, including the networking theory and strategy, data distribution, and data source, are discussed in Chapter 3. The findings of the data analysis and the interpretation of the data collection are presented in Chapter 4. The overall results and their consequences are presented in Chapter 5, and the study's significance is also covered. A discussion of the findings is presented in Chapter 6, followed by reliable suggestions and recommendations. Chapter 7 brings the study to a close via conclusion.</w:t>
      </w:r>
    </w:p>
    <w:p w14:paraId="65F7630F">
      <w:pPr>
        <w:pStyle w:val="3"/>
        <w:rPr>
          <w:highlight w:val="none"/>
          <w:lang w:val="en-US"/>
        </w:rPr>
      </w:pPr>
      <w:r>
        <w:rPr>
          <w:highlight w:val="none"/>
          <w:lang w:val="en-US"/>
        </w:rPr>
        <w:t>Sub-Conclusion</w:t>
      </w:r>
    </w:p>
    <w:p w14:paraId="2B28F5A3">
      <w:pPr>
        <w:ind w:firstLine="576"/>
        <w:rPr>
          <w:highlight w:val="none"/>
          <w:lang w:val="en-US"/>
        </w:rPr>
      </w:pPr>
      <w:r>
        <w:rPr>
          <w:highlight w:val="none"/>
          <w:lang w:val="en-US"/>
        </w:rPr>
        <w:t>The main emphasis of this chapter's introduction to the study issue was the difficulties in adopting Quality Management Systems (QMS) in Saudi Arabian (KSA) construction organisations. It brought attention to how important the research was in helping to advance the nation's building sector. To analyze QMS components, consider advantages, pinpoint problems, and provide solutions for effective QMS implementation, the research's objectives and questions are defined. The study could improve project results, customer happiness, and general industry standards.</w:t>
      </w:r>
    </w:p>
    <w:p w14:paraId="493514C4">
      <w:pPr>
        <w:pStyle w:val="2"/>
        <w:numPr>
          <w:ilvl w:val="0"/>
          <w:numId w:val="0"/>
        </w:numPr>
        <w:ind w:left="432" w:hanging="432"/>
        <w:jc w:val="left"/>
        <w:rPr>
          <w:sz w:val="32"/>
          <w:szCs w:val="40"/>
          <w:highlight w:val="none"/>
          <w:u w:val="double"/>
          <w:lang w:val="en-US"/>
        </w:rPr>
      </w:pPr>
      <w:r>
        <w:rPr>
          <w:sz w:val="32"/>
          <w:szCs w:val="40"/>
          <w:highlight w:val="none"/>
          <w:u w:val="double"/>
          <w:lang w:val="en-US"/>
        </w:rPr>
        <w:t>CHAPTER TWO</w:t>
      </w:r>
    </w:p>
    <w:p w14:paraId="7EC7D101">
      <w:pPr>
        <w:pStyle w:val="2"/>
        <w:rPr>
          <w:highlight w:val="none"/>
          <w:lang w:val="en-US"/>
        </w:rPr>
      </w:pPr>
      <w:r>
        <w:rPr>
          <w:highlight w:val="none"/>
          <w:lang w:val="en-US"/>
        </w:rPr>
        <w:t>Literature Review</w:t>
      </w:r>
    </w:p>
    <w:p w14:paraId="416460BE">
      <w:pPr>
        <w:pStyle w:val="3"/>
        <w:rPr>
          <w:highlight w:val="none"/>
          <w:lang w:val="en-US"/>
        </w:rPr>
      </w:pPr>
      <w:r>
        <w:rPr>
          <w:highlight w:val="none"/>
          <w:lang w:val="en-US"/>
        </w:rPr>
        <w:t>Introduction</w:t>
      </w:r>
    </w:p>
    <w:p w14:paraId="429E11E5">
      <w:pPr>
        <w:ind w:firstLine="576"/>
        <w:rPr>
          <w:highlight w:val="none"/>
          <w:lang w:val="en-US"/>
        </w:rPr>
      </w:pPr>
      <w:r>
        <w:rPr>
          <w:highlight w:val="none"/>
          <w:lang w:val="en-US"/>
        </w:rPr>
        <w:t>The chapter evaluated pertinent literature on quality management systems (QMS) in the construction sector and provided the theoretical underpinning for the investigation. It provided an overview of the QMS-ISO 9001 standard and its importance, covered practical QMS techniques in the worldwide construction industry, and highlighted difficulties encountered during QMS implementation. A summary of current QMS procedures in the Saudi Arabian construction sector was also provided in this chapter. It investigates why construction businesses adopt QMS and how government laws affect QMS implementation. The chapter also looks at the challenges that prevent the successful use of QMS, painting a clear picture of the issues that must be resolved for effective QMS integration in the construction sector. This chapter establishes the framework for the upcoming study, directing the inquiry into the fundamental difficulties and possibilities affecting QMS in the construction sector by analysing the current literature and examining the Saudi environment.</w:t>
      </w:r>
    </w:p>
    <w:p w14:paraId="6EAF1D53">
      <w:pPr>
        <w:pStyle w:val="3"/>
        <w:rPr>
          <w:highlight w:val="none"/>
          <w:lang w:val="en-US"/>
        </w:rPr>
      </w:pPr>
      <w:r>
        <w:rPr>
          <w:highlight w:val="none"/>
          <w:lang w:val="en-US"/>
        </w:rPr>
        <w:t>ISO 9001 Standard</w:t>
      </w:r>
    </w:p>
    <w:p w14:paraId="07AAB79D">
      <w:pPr>
        <w:ind w:firstLine="576"/>
        <w:rPr>
          <w:highlight w:val="none"/>
          <w:lang w:val="en-US"/>
        </w:rPr>
      </w:pPr>
      <w:r>
        <w:rPr>
          <w:highlight w:val="none"/>
          <w:lang w:val="en-US"/>
        </w:rPr>
        <w:t>ISOs are widely discussed among various research studies as the pillar of quality control systems. In the United Kingdom (UK), quality control systems were initially drawn from nuclear and military standards and later adopted as “BS5750:1979” in the industrial sector. However, these systems did not enter the UK building sector until the 1980s and the early 1990s. This adoption was primarily sparked by local and federal regulations requiring construction firms to have certified quality systems to participate in open project bidding. In this manner, construction firms started implementing these quality control systems to meet regulatory standards and take advantage of tendering possibilities (Xaba-Jama, 2019). Integrating quality management systems became essential in the construction industry since it helped in standard compliance, project success, and customer satisfaction. As a benchmark for implementing efficient management and process control across various industries and sectors, the ISO 9000 series became the recommended Quality Management System (QMS) model supported by proponents of the quality movement. The construction industry, in particular, embraced this model (Rao et al., 2022). In one credible study, Barbosa et al. (2022) enlightened that the ISO 9000 series was first created by the “International Organization for Standardization-Technical Committees” (ISO-TC 176) in 1987. Updates were made in 1994 and 2000, and the most recent version is ISO 9001:2008; however, it is not essential to rewrite excellent papers to comply with the most recent standard because the 2008 version did not make any substantial modifications from the 2000 version.</w:t>
      </w:r>
    </w:p>
    <w:p w14:paraId="4B6542C8">
      <w:pPr>
        <w:ind w:firstLine="576"/>
        <w:rPr>
          <w:highlight w:val="none"/>
          <w:lang w:val="en-US"/>
        </w:rPr>
      </w:pPr>
      <w:r>
        <w:rPr>
          <w:highlight w:val="none"/>
          <w:lang w:val="en-US"/>
        </w:rPr>
        <w:t>In the context of ISO 9001 competencies Patel and Pitroda (2021) published that adopting ISO 9001 provided construction organisations with several advantages, including increased productivity, higher customer satisfaction, improved credibility, and better project results. Construction companies who followed the ISO 9001 framework simplified their operations, put standardised procedures in place, and kept a customer-focused mindset. Construction businesses could identify quality concerns quickly because of ISO 9001's systematic and well-defined strategy, which sped up continuous development and sustainable growth. Despite each project being unique and having several subcontractors and suppliers, the ISO 9001 standard could be effectively implemented in construction businesses and their projects due to its general character. Due to its adaptability, it was a valuable tool for construction companies looking to improve their management techniques, guarantee process control, and provide consistently high-quality results. Moreover, the emphasis placed by ISO 9001 on leadership, customer focus, and employee engagement helped to promote a culture of quality and accountability within the construction industry. It promoted employee involvement (Krajcsák, 2019), essential for implementing QMSs and organisational transformation.</w:t>
      </w:r>
    </w:p>
    <w:p w14:paraId="0DBBF3B5">
      <w:pPr>
        <w:jc w:val="center"/>
        <w:rPr>
          <w:highlight w:val="none"/>
          <w:lang w:val="en-US"/>
        </w:rPr>
      </w:pPr>
      <w:r>
        <w:rPr>
          <w:highlight w:val="none"/>
          <w:lang w:val="en-US"/>
        </w:rPr>
        <w:drawing>
          <wp:inline distT="0" distB="0" distL="0" distR="0">
            <wp:extent cx="5411470" cy="3895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16552" cy="3899423"/>
                    </a:xfrm>
                    <a:prstGeom prst="rect">
                      <a:avLst/>
                    </a:prstGeom>
                  </pic:spPr>
                </pic:pic>
              </a:graphicData>
            </a:graphic>
          </wp:inline>
        </w:drawing>
      </w:r>
    </w:p>
    <w:p w14:paraId="4B56159B">
      <w:pPr>
        <w:jc w:val="center"/>
        <w:rPr>
          <w:i/>
          <w:iCs/>
          <w:sz w:val="20"/>
          <w:szCs w:val="18"/>
          <w:highlight w:val="none"/>
          <w:shd w:val="clear" w:color="auto" w:fill="FFFFFF"/>
        </w:rPr>
      </w:pPr>
      <w:r>
        <w:rPr>
          <w:i/>
          <w:iCs/>
          <w:sz w:val="20"/>
          <w:szCs w:val="18"/>
          <w:highlight w:val="none"/>
        </w:rPr>
        <w:t>(Rumane, 2011)</w:t>
      </w:r>
    </w:p>
    <w:p w14:paraId="66A3E6E4">
      <w:pPr>
        <w:ind w:firstLine="576"/>
        <w:rPr>
          <w:highlight w:val="none"/>
          <w:lang w:val="en-US"/>
        </w:rPr>
      </w:pPr>
      <w:r>
        <w:rPr>
          <w:highlight w:val="none"/>
          <w:lang w:val="en-US"/>
        </w:rPr>
        <w:t>Additionally, another research by Akinnusi and Nel (2020) indicated that to fully benefit from implementing the system, each of the 23 sub-clauses in the QMS-ISO 9001 standard's five major clauses must be followed to the letter. ISO 9001:2008 replaced the 20 elements that were the foundation of ISO 9000:1994 with five clauses, but the process-based approach's core principles remained. The construction sector included the 20 aspects as QMS elements because of the standard's versatility, which addressed a wide range of quality-related activities unique to construction-related enterprises (Table 1). In addition, international professionals affiliated with ISO-TC 176 contributed their aggregate knowledge and skills to developing the ISO 9001 standard. It included eight fundamental quality management principles, including "customer focus," "leadership," "people involvement," "process approach," "system approach to management," "continual approach," "Factual approach to decision making," and "mutually beneficial supplier relationships" that were meant to serve as a framework for improving an organisation’s performance (Willar, 2012). On the collaborative ground, these research facts established that the construction sector profited from the widely used and successful QMS model provided by the ISO 9000 series, especially ISO 9001. Its broad application and emphasis on customer satisfaction make it an essential tool for construction organisations looking to improve their management practices and consistently provide high-quality project deliverables. Construction companies might build a solid basis for long-term performance, stakeholder confidence, and continual development by applying ISO 9001.</w:t>
      </w:r>
    </w:p>
    <w:p w14:paraId="49F0B3AF">
      <w:pPr>
        <w:pStyle w:val="4"/>
        <w:rPr>
          <w:highlight w:val="none"/>
          <w:lang w:val="en-US"/>
        </w:rPr>
      </w:pPr>
      <w:r>
        <w:rPr>
          <w:highlight w:val="none"/>
          <w:lang w:val="en-US"/>
        </w:rPr>
        <w:t>Requirements of ISO 9001: 2015 About the Challenges</w:t>
      </w:r>
    </w:p>
    <w:p w14:paraId="39CA761E">
      <w:pPr>
        <w:ind w:firstLine="576"/>
        <w:rPr>
          <w:highlight w:val="none"/>
          <w:lang w:val="en-US"/>
        </w:rPr>
      </w:pPr>
      <w:r>
        <w:rPr>
          <w:highlight w:val="none"/>
          <w:lang w:val="en-US"/>
        </w:rPr>
        <w:t>The Quality Management System (QMS) standards are detailed in the comprehensive international standard ISO 9001:2015. It recommended how businesses could raise customer happiness, guarantee constant product and service quality, and promote ongoing development (Helmold, 2023). In one of the recent studies by ‌Ross (2021), the eight theoretical questions given for significant construction projects and the primary data questionnaire align with the pertinent sections of ISO 9001:2015 (Table 2). The core data questionnaire probably covered various QMS implementation-related topics, including customer focus, leadership commitment, process methodology, and employee participation. Additionally, it asked how the company recognised and handled risks and opportunities, monitored performance, and implemented corrective measures as necessary. Theoretical inquiries, based on knowledge gained from implementing quality in significant construction projects, attempt to understand how the QMS assisted in effective project management, regulatory compliance, and the development of cooperative partnerships with suppliers. The questionnaires and theoretical questions' use of ISO 9001:2015 guidelines demonstrated a dedication to bringing construction projects into compliance with widely accepted quality standards. This strategy made executing a QMS methodically and organized easier, encouraging continual project success and development.</w:t>
      </w:r>
    </w:p>
    <w:p w14:paraId="560FF5B9">
      <w:pPr>
        <w:jc w:val="center"/>
        <w:rPr>
          <w:highlight w:val="none"/>
          <w:lang w:val="en-US"/>
        </w:rPr>
      </w:pPr>
      <w:r>
        <w:rPr>
          <w:highlight w:val="none"/>
          <w:lang w:val="en-US"/>
        </w:rPr>
        <w:drawing>
          <wp:inline distT="0" distB="0" distL="0" distR="0">
            <wp:extent cx="5337810" cy="28702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337413" cy="2870000"/>
                    </a:xfrm>
                    <a:prstGeom prst="rect">
                      <a:avLst/>
                    </a:prstGeom>
                  </pic:spPr>
                </pic:pic>
              </a:graphicData>
            </a:graphic>
          </wp:inline>
        </w:drawing>
      </w:r>
    </w:p>
    <w:p w14:paraId="0D35FBB9">
      <w:pPr>
        <w:jc w:val="center"/>
        <w:rPr>
          <w:i/>
          <w:iCs/>
          <w:sz w:val="20"/>
          <w:szCs w:val="18"/>
          <w:highlight w:val="none"/>
          <w:lang w:val="en-US"/>
        </w:rPr>
      </w:pPr>
      <w:r>
        <w:rPr>
          <w:i/>
          <w:iCs/>
          <w:sz w:val="20"/>
          <w:szCs w:val="18"/>
          <w:highlight w:val="none"/>
          <w:lang w:val="en-US"/>
        </w:rPr>
        <w:t>(Ross, 2021)</w:t>
      </w:r>
    </w:p>
    <w:p w14:paraId="068CE8A7">
      <w:pPr>
        <w:pStyle w:val="3"/>
        <w:rPr>
          <w:highlight w:val="none"/>
          <w:lang w:val="en-US"/>
        </w:rPr>
      </w:pPr>
      <w:r>
        <w:rPr>
          <w:highlight w:val="none"/>
          <w:lang w:val="en-US"/>
        </w:rPr>
        <w:t>Quality Management System in Construction</w:t>
      </w:r>
    </w:p>
    <w:p w14:paraId="0CC2F99E">
      <w:pPr>
        <w:ind w:firstLine="576"/>
        <w:rPr>
          <w:highlight w:val="none"/>
          <w:lang w:val="en-US"/>
        </w:rPr>
      </w:pPr>
      <w:r>
        <w:rPr>
          <w:highlight w:val="none"/>
          <w:lang w:val="en-US"/>
        </w:rPr>
        <w:t>An organisation’s primary business sector requires a complete structure of rules, methods, and procedures known as a quality management system (QMS). Although it is related to Total Quality Management (TQM), QMS differs in that it emphasises "strong leadership" and acknowledges the reciprocal nature of supplier relationships, which are fundamental concepts in the management of building projects (British Assessment Bureau, 2019). Even if QMS and TQM did not wholly "Integrate Organization Systems," there is still some integration, such as incorporating “quality, health, safety, and environmental auditing and yearly management reviews”. From the standpoint of the construction industry, the sub-section established the concepts of quality and QMS and examined the efficacy of QMS implementation in light of prior research data and literature.</w:t>
      </w:r>
    </w:p>
    <w:p w14:paraId="2A285E4F">
      <w:pPr>
        <w:pStyle w:val="4"/>
        <w:rPr>
          <w:highlight w:val="none"/>
          <w:lang w:val="en-US"/>
        </w:rPr>
      </w:pPr>
      <w:r>
        <w:rPr>
          <w:highlight w:val="none"/>
          <w:lang w:val="en-US"/>
        </w:rPr>
        <w:t>Definition of Quality in Construction</w:t>
      </w:r>
    </w:p>
    <w:p w14:paraId="14A75D1F">
      <w:pPr>
        <w:ind w:firstLine="720"/>
        <w:rPr>
          <w:highlight w:val="none"/>
          <w:lang w:val="en-US"/>
        </w:rPr>
      </w:pPr>
      <w:r>
        <w:rPr>
          <w:highlight w:val="none"/>
          <w:lang w:val="en-US"/>
        </w:rPr>
        <w:t>The concepts "quality," "quality management system (QMS)," and "total quality management (TQM)" needed to be defined and discussed objectively in the context of the building sector. Numerous forerunners of the quality movement, including Deming, Juran, Crosby, Feigenbaum, and Taguchi, provided their viewpoints since there is no one specific definition of "quality." However, ISO DIS 9000:2000's definition of "Quality" as the degree to which intrinsic qualities satisfy criteria suggests that quality in the construction sector is only attained when the demands of all project stakeholders are satisfied (Kissi et al., 2019). Similarly, according to Adekunle et al. (2022), "Quality Management" refers to an essential component of general management that establishes and executes the quality policy in construction. It concerns the roles, duties, protocols, methods, and tools utilised to apply quality management efficiently. Construction businesses must use a "quality management system" (QMS) to attain quality in business performance. As part of the QMS, the organisation’s business policy, management roles, processes, and controls were formally stated to meet or exceed stakeholder expectations while fulfilling the company's business goals. In alignment with this, another core study by Alawag et al. (2023) established that the idea of quality in a building has several facets and demands consideration of various important factors. A QMS is a strategic instrument for achieving quality objectives for construction organisations. Management commitment, consistency mechanisms, data utilisation, teamwork, and training were vital quality ideas for QMS implementation. The findings showed that a well-implemented QMS is essential for the success of construction enterprises. In line with this, Hoyle (2017) highlighted that a system that satisfies customer needs, clear definitions of roles, effective process organisation, adherence to industry standards like ISO 9001, a sense of ownership and commitment among employees, and continuous review for ongoing improvements are just a few of the fundamental ideas that made QMS implementation effective.</w:t>
      </w:r>
    </w:p>
    <w:p w14:paraId="7F9A0FB3">
      <w:pPr>
        <w:ind w:firstLine="720"/>
        <w:rPr>
          <w:highlight w:val="none"/>
          <w:lang w:val="en-US"/>
        </w:rPr>
      </w:pPr>
      <w:r>
        <w:rPr>
          <w:highlight w:val="none"/>
          <w:lang w:val="en-US"/>
        </w:rPr>
        <w:t>Moreover, compared to QMS, total quality management (TQM) is considered a higher-level notion of strategic success. TQM aims to increase continuous quality management, promote customer satisfaction, and involve the organisation in delivering high-quality outputs. While some construction firms used TQM to improve quality and productivity, others embrace</w:t>
      </w:r>
      <w:r>
        <w:rPr>
          <w:highlight w:val="none"/>
        </w:rPr>
        <w:t xml:space="preserve"> </w:t>
      </w:r>
      <w:r>
        <w:rPr>
          <w:highlight w:val="none"/>
          <w:lang w:val="en-US"/>
        </w:rPr>
        <w:t>Construction organisations must fully understand the principles of quality and QMS to enhance company performance and satisfy stakeholders' expectationss shown in (Figure 1), emphasising the areas where the two concepts intersect (Zand and Dehyouri, 2022). Collectively these research facts signified that the construction sector encountered difficulties defining "Quality" by successfully applying QMS and adopting the TQM mindset. To enhance company performance and satisfy stakeholders' expectations, construction organisations must fully understand the principles of quality and QMS. Continuous improvement, improved customer happiness, and higher competitiveness were the results of implementing QMS. Companies who climb the "quality ladder" eventually adopt TQM's more comprehensive methodology to succeed in every facet of their business operations.</w:t>
      </w:r>
    </w:p>
    <w:p w14:paraId="781D67A0">
      <w:pPr>
        <w:jc w:val="center"/>
        <w:rPr>
          <w:highlight w:val="none"/>
          <w:lang w:val="en-US"/>
        </w:rPr>
      </w:pPr>
      <w:r>
        <w:rPr>
          <w:highlight w:val="none"/>
          <w:lang w:val="en-US"/>
        </w:rPr>
        <w:drawing>
          <wp:inline distT="0" distB="0" distL="0" distR="0">
            <wp:extent cx="3808095" cy="1936115"/>
            <wp:effectExtent l="0" t="0" r="190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809237" cy="1936745"/>
                    </a:xfrm>
                    <a:prstGeom prst="rect">
                      <a:avLst/>
                    </a:prstGeom>
                  </pic:spPr>
                </pic:pic>
              </a:graphicData>
            </a:graphic>
          </wp:inline>
        </w:drawing>
      </w:r>
    </w:p>
    <w:p w14:paraId="13BDDFAF">
      <w:pPr>
        <w:jc w:val="center"/>
        <w:rPr>
          <w:i/>
          <w:iCs/>
          <w:sz w:val="20"/>
          <w:szCs w:val="18"/>
          <w:highlight w:val="none"/>
          <w:shd w:val="clear" w:color="auto" w:fill="FFFFFF"/>
        </w:rPr>
      </w:pPr>
      <w:r>
        <w:rPr>
          <w:i/>
          <w:iCs/>
          <w:sz w:val="20"/>
          <w:szCs w:val="18"/>
          <w:highlight w:val="none"/>
          <w:shd w:val="clear" w:color="auto" w:fill="FFFFFF"/>
        </w:rPr>
        <w:t>(Willar, 2012)</w:t>
      </w:r>
    </w:p>
    <w:p w14:paraId="7C02AC1D">
      <w:pPr>
        <w:pStyle w:val="4"/>
        <w:rPr>
          <w:highlight w:val="none"/>
          <w:lang w:val="en-US"/>
        </w:rPr>
      </w:pPr>
      <w:r>
        <w:rPr>
          <w:highlight w:val="none"/>
          <w:lang w:val="en-US"/>
        </w:rPr>
        <w:t>The Effectiveness of QMS Implementation</w:t>
      </w:r>
    </w:p>
    <w:p w14:paraId="1069A53F">
      <w:pPr>
        <w:ind w:firstLine="720"/>
        <w:rPr>
          <w:highlight w:val="none"/>
          <w:lang w:val="en-US"/>
        </w:rPr>
      </w:pPr>
      <w:r>
        <w:rPr>
          <w:highlight w:val="none"/>
          <w:lang w:val="en-US"/>
        </w:rPr>
        <w:t>Effective planning, operation, review, and continual improvement at all levels of the organisation were necessary for successfully implementing a Quality Management System (QMS) based on the ISO 9001 standard. According to the British Standards Institute, effectiveness refers to how well-planned actions and intended outcomes are carried out. This phrase has a lot to do with deploying a QMS since organisations that do so must successfully achieve all of their quality goals and standards (Lannelongue et al., 2021). However, Oliveira and Lopes (2020) argued that the BSI's definition of "effectiveness" is inaccurate since it creates the false impression that effectiveness can only be attained by adhering to predetermined standards and quality goals. In actuality, effectiveness included both aspects of satisfying the required standards for quality set out by the organisation and the predetermined standards outlined in the eight quality management principles and ISO 9001 components. It is also emphasised that a construction company's operations and whether it was successful in reaching its objectives and exceeding customer expectations are key factors in determining a QMS's performance.  Recent publications on construction quality management highlighted the crucial steps necessary for a Quality Management System (QMS) based on ISO 9001 to be implemented successfully. Madsen et al. (2022) emphasized that ISO 9001 continues to be a system focused on processes with a heavy emphasis on compliance, needing strict organizational performance evaluations leading to accreditation. The main goal of implementing a QMS is to ensure that all stages of the job, from design and development through manufacture, building, and maintenance, are carried out according to standards, eventually leading to customer satisfaction. Titu et al. (2023) illustrated the need to continually enhance the QMS to comply with customer and regulatory obligations while consistently delivering goods that meet or exceed customer expectations and satisfaction.</w:t>
      </w:r>
    </w:p>
    <w:p w14:paraId="4686CDDF">
      <w:pPr>
        <w:jc w:val="center"/>
        <w:rPr>
          <w:highlight w:val="none"/>
          <w:lang w:val="en-US"/>
        </w:rPr>
      </w:pPr>
      <w:r>
        <w:rPr>
          <w:highlight w:val="none"/>
          <w:lang w:val="en-US"/>
        </w:rPr>
        <w:drawing>
          <wp:inline distT="0" distB="0" distL="0" distR="0">
            <wp:extent cx="2780665" cy="349059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83387" cy="3493243"/>
                    </a:xfrm>
                    <a:prstGeom prst="rect">
                      <a:avLst/>
                    </a:prstGeom>
                  </pic:spPr>
                </pic:pic>
              </a:graphicData>
            </a:graphic>
          </wp:inline>
        </w:drawing>
      </w:r>
    </w:p>
    <w:p w14:paraId="10241AA2">
      <w:pPr>
        <w:jc w:val="center"/>
        <w:rPr>
          <w:i/>
          <w:iCs/>
          <w:sz w:val="20"/>
          <w:szCs w:val="18"/>
          <w:highlight w:val="none"/>
          <w:shd w:val="clear" w:color="auto" w:fill="FFFFFF"/>
        </w:rPr>
      </w:pPr>
      <w:r>
        <w:rPr>
          <w:i/>
          <w:iCs/>
          <w:sz w:val="20"/>
          <w:szCs w:val="18"/>
          <w:highlight w:val="none"/>
          <w:shd w:val="clear" w:color="auto" w:fill="FFFFFF"/>
        </w:rPr>
        <w:t>(Willar, 2012)</w:t>
      </w:r>
    </w:p>
    <w:p w14:paraId="4D468BAD">
      <w:pPr>
        <w:ind w:firstLine="720"/>
        <w:rPr>
          <w:highlight w:val="none"/>
          <w:lang w:val="en-US"/>
        </w:rPr>
      </w:pPr>
      <w:r>
        <w:rPr>
          <w:highlight w:val="none"/>
          <w:lang w:val="en-US"/>
        </w:rPr>
        <w:t>Additionally, the possible advantages of implementing ISO 9001 for construction organizations were outlined by Willar (2012). Even in highly competitive construction situations, effectively adopting a QMS and embracing quality values or a high-level quality mindset, whether through ISO 9001 or TQM, produced considerable benefits (Table 1). This strategy increased competitiveness and success in the construction sector by demonstrating an organisation’s dedication to quality and customer satisfaction and ensuring constant improvement in processes and services. Similarly, as per another study, after getting ISO 9001 certification, most Malaysian builders saw a considerable increase in their company's competitiveness, ranging from 31% to 80%. This emphasised how crucial it is for construction businesses aiming to lead the industry to create and successfully deploy QMS (Cződörová and Gnap, 2023). Nevertheless, the implementation procedure presented difficulties, contrary to the advantages of deploying ISO 9001.</w:t>
      </w:r>
    </w:p>
    <w:p w14:paraId="193611C2">
      <w:pPr>
        <w:pStyle w:val="3"/>
        <w:rPr>
          <w:highlight w:val="none"/>
          <w:lang w:val="en-US"/>
        </w:rPr>
      </w:pPr>
      <w:r>
        <w:rPr>
          <w:highlight w:val="none"/>
          <w:lang w:val="en-US"/>
        </w:rPr>
        <w:t>QMS and KSA’s Construction Sector</w:t>
      </w:r>
    </w:p>
    <w:p w14:paraId="76027E01">
      <w:pPr>
        <w:rPr>
          <w:highlight w:val="none"/>
          <w:shd w:val="clear" w:color="auto" w:fill="FFFFFF"/>
        </w:rPr>
      </w:pPr>
      <w:r>
        <w:rPr>
          <w:highlight w:val="none"/>
          <w:lang w:val="en-US"/>
        </w:rPr>
        <w:t xml:space="preserve">The construction industry of KSA is the largest and fastest-expanding sector. </w:t>
      </w:r>
      <w:r>
        <w:rPr>
          <w:highlight w:val="none"/>
          <w:shd w:val="clear" w:color="auto" w:fill="FFFFFF"/>
        </w:rPr>
        <w:t>Amri and Marey-Pérez (2020) declared that</w:t>
      </w:r>
      <w:r>
        <w:rPr>
          <w:highlight w:val="none"/>
          <w:lang w:val="en-US"/>
        </w:rPr>
        <w:t xml:space="preserve"> its organisational culture, business approaches, labour and material supply chain, and management skills are distinguished and give its industry a competitive advantage in the Gulf market and around the world. Although the economic stability of the KSA is stable to the extent that the government of the state funds public infrastructures (</w:t>
      </w:r>
      <w:r>
        <w:rPr>
          <w:highlight w:val="none"/>
          <w:shd w:val="clear" w:color="auto" w:fill="FFFFFF"/>
        </w:rPr>
        <w:t>EssamShaawat et al., 2019)</w:t>
      </w:r>
      <w:r>
        <w:rPr>
          <w:highlight w:val="none"/>
          <w:lang w:val="en-US"/>
        </w:rPr>
        <w:t>. Despite such success and expansion, the quality management system has not been achieved yet in the KSA (</w:t>
      </w:r>
      <w:r>
        <w:rPr>
          <w:highlight w:val="none"/>
          <w:shd w:val="clear" w:color="auto" w:fill="FFFFFF"/>
        </w:rPr>
        <w:t>Albassam, 2019)</w:t>
      </w:r>
      <w:r>
        <w:rPr>
          <w:highlight w:val="none"/>
          <w:lang w:val="en-US"/>
        </w:rPr>
        <w:t>. The mismanagement leads to budget overruns and delays in the project completion. The literature on the QMS is scarce in the KSA construction sectors compared to other countries. For a considerable period, there has been an acknowledgement of the importance of quality management systems, which has resulted in the creation and execution of numerous systems and approaches (</w:t>
      </w:r>
      <w:r>
        <w:rPr>
          <w:highlight w:val="none"/>
          <w:shd w:val="clear" w:color="auto" w:fill="FFFFFF"/>
        </w:rPr>
        <w:t>Aichouni et al., 2023)</w:t>
      </w:r>
      <w:r>
        <w:rPr>
          <w:highlight w:val="none"/>
          <w:lang w:val="en-US"/>
        </w:rPr>
        <w:t>. Trigunarsyah et al. (2023) contend that the establishment of a proficient quality management system (QMS) and its implementation throughout the entire project life cycle and relevant organisations are critical in ameliorating unsatisfactory project delivery outcomes. However</w:t>
      </w:r>
      <w:r>
        <w:rPr>
          <w:highlight w:val="none"/>
          <w:shd w:val="clear" w:color="auto" w:fill="FFFFFF"/>
        </w:rPr>
        <w:t xml:space="preserve">, the effective implementation of the Total Quality Management (TQM) system has the potential to enhance the construction industry of the Kingdom of Saudi Arabia (KSA) beyond its competitors (Alawag et al., 2023). Specifically, TQM exhibits a significant positive association with the development of construction quality culture, a crucial concern for project proprietors. </w:t>
      </w:r>
    </w:p>
    <w:p w14:paraId="436ECDAD">
      <w:pPr>
        <w:rPr>
          <w:highlight w:val="none"/>
          <w:shd w:val="clear" w:color="auto" w:fill="FFFFFF"/>
        </w:rPr>
      </w:pPr>
      <w:r>
        <w:rPr>
          <w:highlight w:val="none"/>
          <w:shd w:val="clear" w:color="auto" w:fill="FFFFFF"/>
        </w:rPr>
        <w:t>According to Warsi et al. (2023) research, Saudi Arabia's construction industry has adopted SO 9001:2015 to a large extent. Renukappa et al. (2021) contended that the Total Quality Management (TQM) adoption in this industry is hampered by conflicts about its significance, a lack of professional and technical know-how, flaws in training and development systems, and institutional frameworks' constraints. Abdelalim and Eldesouky (2021) reported that the construction industry's most widely used model is ISO 9000, which was developed by the International Organisation for Standardisation. According to a study by Jaiswal et al. (2022) that used regression analysis to examine the effectiveness of TQM in the KSA construction sector across four dimensions—management, quality control, inspection, and assurance—it was discovered that both quality management and assurance have a significant positive impact on the project's overall quality. According to Do et al. (2021), construction projects typically entail substantial resource quantities and dynamic processes, thus, attaining superior quality depends on the management of consistent organisational processes. In contrast, Ali AlShehail et al. (2022) asserted that effective information system management, quality reporting documentation, meticulous recording of quality-related data such as inspections and identified issues, and collaboration among stakeholders to address these issues and ensure intended quality control are all essential for developing and implementing a standardised Quality Management System (QMS) within an organisation. Moreover, Riaz et al. (2023) emphasized that the imperative need to deliver quality projects and services in the Saudi construction market necessitates the efficacious implementation of a Quality Management System (QMS). Nonetheless, the unique characteristics of the Saudi construction industry render existing QMS guidelines inapplicable.</w:t>
      </w:r>
    </w:p>
    <w:p w14:paraId="73E07DBE">
      <w:pPr>
        <w:pStyle w:val="3"/>
        <w:rPr>
          <w:highlight w:val="none"/>
          <w:lang w:val="en-US"/>
        </w:rPr>
      </w:pPr>
      <w:r>
        <w:rPr>
          <w:highlight w:val="none"/>
          <w:lang w:val="en-US"/>
        </w:rPr>
        <w:t>Barriers to QMS Implementation</w:t>
      </w:r>
    </w:p>
    <w:p w14:paraId="4F719642">
      <w:pPr>
        <w:rPr>
          <w:highlight w:val="none"/>
        </w:rPr>
      </w:pPr>
      <w:r>
        <w:rPr>
          <w:highlight w:val="none"/>
        </w:rPr>
        <w:t>Extensive research has been conducted to investigate the challenges associated with implementing a QMS in the construction industry (</w:t>
      </w:r>
      <w:r>
        <w:rPr>
          <w:highlight w:val="none"/>
          <w:shd w:val="clear" w:color="auto" w:fill="FFFFFF"/>
        </w:rPr>
        <w:t>Mon, 2020; Odubiyi et al., 2019; Kumar and Kumar, 2019)</w:t>
      </w:r>
      <w:r>
        <w:rPr>
          <w:highlight w:val="none"/>
        </w:rPr>
        <w:t xml:space="preserve">. </w:t>
      </w:r>
      <w:r>
        <w:rPr>
          <w:highlight w:val="none"/>
          <w:shd w:val="clear" w:color="auto" w:fill="FFFFFF"/>
        </w:rPr>
        <w:t>Olafsdottir</w:t>
      </w:r>
      <w:r>
        <w:rPr>
          <w:highlight w:val="none"/>
          <w:lang w:val="en-US"/>
        </w:rPr>
        <w:t xml:space="preserve"> et al. (2019) also examined that the implementation of a QMS in the construction industry poses significant managerial challenges.</w:t>
      </w:r>
      <w:r>
        <w:rPr>
          <w:highlight w:val="none"/>
        </w:rPr>
        <w:t xml:space="preserve"> While QMSs can potentially address longstanding issues in the sector, significant obstacles and hindrances still exist that prevent these systems from being effectively installed (</w:t>
      </w:r>
      <w:r>
        <w:rPr>
          <w:highlight w:val="none"/>
          <w:shd w:val="clear" w:color="auto" w:fill="FFFFFF"/>
        </w:rPr>
        <w:t>Mhatre and Kumthekar, 2021)</w:t>
      </w:r>
      <w:r>
        <w:rPr>
          <w:highlight w:val="none"/>
        </w:rPr>
        <w:t xml:space="preserve">. </w:t>
      </w:r>
    </w:p>
    <w:p w14:paraId="0C647F51">
      <w:pPr>
        <w:pStyle w:val="4"/>
        <w:rPr>
          <w:highlight w:val="none"/>
        </w:rPr>
      </w:pPr>
      <w:r>
        <w:rPr>
          <w:highlight w:val="none"/>
        </w:rPr>
        <w:t xml:space="preserve">High Cost Impeding QMS Implementation   </w:t>
      </w:r>
    </w:p>
    <w:p w14:paraId="06B67464">
      <w:pPr>
        <w:rPr>
          <w:highlight w:val="none"/>
        </w:rPr>
      </w:pPr>
      <w:r>
        <w:rPr>
          <w:highlight w:val="none"/>
        </w:rPr>
        <w:t>The perceived high cost of quality management systems (QMSs) has deterred a number of construction enterprises from embracing their potential benefits. According to the authors, financial investment and time are the biggest barriers preventing construction businesses from adopting a QMS (</w:t>
      </w:r>
      <w:r>
        <w:rPr>
          <w:highlight w:val="none"/>
          <w:shd w:val="clear" w:color="auto" w:fill="FFFFFF"/>
        </w:rPr>
        <w:t>Mhatre and Kumthekar, 2021)</w:t>
      </w:r>
      <w:r>
        <w:rPr>
          <w:highlight w:val="none"/>
        </w:rPr>
        <w:t xml:space="preserve">. The potential reason for not investing in the QMS in the construction organisation is the effectiveness of the procedure, which is still in process. </w:t>
      </w:r>
    </w:p>
    <w:p w14:paraId="61B346D5">
      <w:pPr>
        <w:pStyle w:val="4"/>
        <w:rPr>
          <w:highlight w:val="none"/>
        </w:rPr>
      </w:pPr>
      <w:r>
        <w:rPr>
          <w:highlight w:val="none"/>
        </w:rPr>
        <w:t xml:space="preserve">Organisational Culture as a Barrier  </w:t>
      </w:r>
    </w:p>
    <w:p w14:paraId="1DEE6802">
      <w:pPr>
        <w:rPr>
          <w:highlight w:val="none"/>
        </w:rPr>
      </w:pPr>
      <w:r>
        <w:rPr>
          <w:highlight w:val="none"/>
        </w:rPr>
        <w:t xml:space="preserve">The adaptation challenges of pre-existing quality management systems in the KSA construction industry were explored through an empirical study conducted by </w:t>
      </w:r>
      <w:r>
        <w:rPr>
          <w:highlight w:val="none"/>
          <w:shd w:val="clear" w:color="auto" w:fill="FFFFFF"/>
        </w:rPr>
        <w:t>Alanazi (2021)</w:t>
      </w:r>
      <w:r>
        <w:rPr>
          <w:highlight w:val="none"/>
        </w:rPr>
        <w:t>. It was found that the primary obstacle to implementing such tools and techniques in the region is the organisational culture. According to Riaz et al. (2023), in the Saudi Arabian construction industry, obstacles to implementing a Quality Management System (QMS) can be classified into two main categories: organisational and cultural. Numerous challenges from an organisational perspective that need to be resolved are a management tendency to favour contractors with the lowest tenders, the need to develop equitable team efficacy, inadequate staff training and competency, insufficient resources for improving quality, and a lack of leadership support. On the other hand, cultural factors hindering QMS deployment include required resources and costs, necessary documentation, job pressure, irrelevant quality programs, insufficient time, and difficulties with QMSs (</w:t>
      </w:r>
      <w:r>
        <w:rPr>
          <w:highlight w:val="none"/>
          <w:shd w:val="clear" w:color="auto" w:fill="FFFFFF"/>
        </w:rPr>
        <w:t>Odiba et al., 2021)</w:t>
      </w:r>
      <w:r>
        <w:rPr>
          <w:highlight w:val="none"/>
        </w:rPr>
        <w:t>.</w:t>
      </w:r>
    </w:p>
    <w:p w14:paraId="103DCC0D">
      <w:pPr>
        <w:rPr>
          <w:highlight w:val="none"/>
        </w:rPr>
      </w:pPr>
      <w:r>
        <w:rPr>
          <w:highlight w:val="none"/>
        </w:rPr>
        <w:t xml:space="preserve">An additional study by </w:t>
      </w:r>
      <w:r>
        <w:rPr>
          <w:highlight w:val="none"/>
          <w:shd w:val="clear" w:color="auto" w:fill="FFFFFF"/>
        </w:rPr>
        <w:t>Pehlivan and Cicek (2021)</w:t>
      </w:r>
      <w:r>
        <w:rPr>
          <w:highlight w:val="none"/>
        </w:rPr>
        <w:t xml:space="preserve"> revealed that the hindrances to incorporating a quality management system include organisational culture, the willingness of higher authorities to customise and adapt the QMS, as well as reliability and tangibility dimensions. In support of this finding, </w:t>
      </w:r>
      <w:r>
        <w:rPr>
          <w:highlight w:val="none"/>
          <w:shd w:val="clear" w:color="auto" w:fill="FFFFFF"/>
        </w:rPr>
        <w:t>Lekan</w:t>
      </w:r>
      <w:r>
        <w:rPr>
          <w:highlight w:val="none"/>
        </w:rPr>
        <w:t xml:space="preserve"> et al. (2022) identified the issues that prevent the efficient implementation of a QMS into five categories, including the tendency to perceive a QMS as merely a tool for marketing, a lack of expertise and awareness, a lack of desire, a lack of instructional materials, and qualifications for conducting quality audits. Prior research in other countries has also established that a company's or organisation’s specific culture, business performance, quality control strategy, and national development policy are all distinct factors that are directly linked to their QMS (</w:t>
      </w:r>
      <w:r>
        <w:rPr>
          <w:highlight w:val="none"/>
          <w:shd w:val="clear" w:color="auto" w:fill="FFFFFF"/>
        </w:rPr>
        <w:t>Bouranta et al., 2019; Bravi et al., 2019)</w:t>
      </w:r>
      <w:r>
        <w:rPr>
          <w:highlight w:val="none"/>
        </w:rPr>
        <w:t xml:space="preserve">. </w:t>
      </w:r>
    </w:p>
    <w:p w14:paraId="0FB54C9A">
      <w:pPr>
        <w:pStyle w:val="4"/>
        <w:rPr>
          <w:highlight w:val="none"/>
        </w:rPr>
      </w:pPr>
      <w:r>
        <w:rPr>
          <w:highlight w:val="none"/>
        </w:rPr>
        <w:t xml:space="preserve">Lack of Instructions and Awareness </w:t>
      </w:r>
    </w:p>
    <w:p w14:paraId="463A5FAF">
      <w:pPr>
        <w:rPr>
          <w:highlight w:val="none"/>
        </w:rPr>
      </w:pPr>
      <w:r>
        <w:rPr>
          <w:highlight w:val="none"/>
        </w:rPr>
        <w:t>Furthermore, insufficient guidance provided to project teams, a crucial component in ensuring staff members possess the requisite knowledge and acclimation to the Quality Management System (QMS) standards, may also contribute to the deficiency in capacity (</w:t>
      </w:r>
      <w:r>
        <w:rPr>
          <w:highlight w:val="none"/>
          <w:shd w:val="clear" w:color="auto" w:fill="FFFFFF"/>
        </w:rPr>
        <w:t>Abeysinghe, 2022)</w:t>
      </w:r>
      <w:r>
        <w:rPr>
          <w:highlight w:val="none"/>
        </w:rPr>
        <w:t xml:space="preserve">.  However, according to </w:t>
      </w:r>
      <w:r>
        <w:rPr>
          <w:highlight w:val="none"/>
          <w:shd w:val="clear" w:color="auto" w:fill="FFFFFF"/>
        </w:rPr>
        <w:t>Ali et al.</w:t>
      </w:r>
      <w:r>
        <w:rPr>
          <w:highlight w:val="none"/>
        </w:rPr>
        <w:t xml:space="preserve"> (2022), the issue of management commitment in the construction industry is related to two factors: the need for recognition of the benefits of implementing a QMS and the preference of senior management for prioritising time and finances over quality. Ruth (2021) found that lack of awareness and knowledge have been asserted as significant obstacles to implementing a QMS in the construction industry. Moreover, </w:t>
      </w:r>
      <w:r>
        <w:rPr>
          <w:highlight w:val="none"/>
          <w:shd w:val="clear" w:color="auto" w:fill="FFFFFF"/>
        </w:rPr>
        <w:t>Dreković et al.</w:t>
      </w:r>
      <w:r>
        <w:rPr>
          <w:highlight w:val="none"/>
        </w:rPr>
        <w:t xml:space="preserve"> (2021) examined that major barriers to establishing a QMS in the construction sector have been highlighted as a lack of awareness and understanding. </w:t>
      </w:r>
      <w:r>
        <w:rPr>
          <w:highlight w:val="none"/>
          <w:shd w:val="clear" w:color="auto" w:fill="FFFFFF"/>
        </w:rPr>
        <w:t>Andhika</w:t>
      </w:r>
      <w:r>
        <w:rPr>
          <w:highlight w:val="none"/>
        </w:rPr>
        <w:t xml:space="preserve"> and Latief (2020) reported that Indonesian construction companies face a number of obstacles when it comes to efficiently implementing ISO 9001 Quality Management Systems (QMS). These include a lack of awareness of the objectives and significance of QMS, inadequate design of reward systems, insufficient dissemination of QMS, insufficient backing from senior management, insufficient funding, challenges in supervising subcontractors and suppliers, ineffective communication both internally and externally, lack of commitment from the company, and a reluctance to carry out QMS. </w:t>
      </w:r>
    </w:p>
    <w:p w14:paraId="08FB7DB7">
      <w:pPr>
        <w:pStyle w:val="4"/>
        <w:rPr>
          <w:highlight w:val="none"/>
        </w:rPr>
      </w:pPr>
      <w:r>
        <w:rPr>
          <w:highlight w:val="none"/>
        </w:rPr>
        <w:t xml:space="preserve">Staff's Resistance to Change </w:t>
      </w:r>
    </w:p>
    <w:p w14:paraId="327589EA">
      <w:pPr>
        <w:rPr>
          <w:highlight w:val="none"/>
          <w:lang w:val="en-US"/>
        </w:rPr>
      </w:pPr>
      <w:r>
        <w:rPr>
          <w:highlight w:val="none"/>
        </w:rPr>
        <w:t>Furthermore, one of the significant obstacles to the effective implementation of QMS in the construction sector is the staff's resistance to change (</w:t>
      </w:r>
      <w:r>
        <w:rPr>
          <w:highlight w:val="none"/>
          <w:shd w:val="clear" w:color="auto" w:fill="FFFFFF"/>
        </w:rPr>
        <w:t>Elsokhn and Ezeldin, 2021)</w:t>
      </w:r>
      <w:r>
        <w:rPr>
          <w:highlight w:val="none"/>
        </w:rPr>
        <w:t xml:space="preserve">. These workers must swiftly adjust to the ongoing changes related to QMS procedure and development. In addition, </w:t>
      </w:r>
      <w:r>
        <w:rPr>
          <w:highlight w:val="none"/>
          <w:shd w:val="clear" w:color="auto" w:fill="FFFFFF"/>
        </w:rPr>
        <w:t>Mohammadi et al.</w:t>
      </w:r>
      <w:r>
        <w:rPr>
          <w:highlight w:val="none"/>
        </w:rPr>
        <w:t xml:space="preserve"> (2021) asserted that the key challenges are securing employee support for the adoption of the QMS and lacking financial and human resources. Related staff members attribute resistance to the knowledge that any modification to the QMS criteria poses a risk in terms of ambiguity and displacement of the necessary new knowledge and abilities (</w:t>
      </w:r>
      <w:r>
        <w:rPr>
          <w:highlight w:val="none"/>
          <w:shd w:val="clear" w:color="auto" w:fill="FFFFFF"/>
        </w:rPr>
        <w:t>Mitchell and Fakhruddin, 2022)</w:t>
      </w:r>
      <w:r>
        <w:rPr>
          <w:highlight w:val="none"/>
        </w:rPr>
        <w:t xml:space="preserve">. </w:t>
      </w:r>
      <w:r>
        <w:rPr>
          <w:highlight w:val="none"/>
          <w:lang w:val="en-US"/>
        </w:rPr>
        <w:t xml:space="preserve">These difficulties arise in the context of organisational structure, control of record keeping, the definition and maintenance of procedures, ensuring customer satisfaction, promoting interaction between production departments and quality, managing costs, and conducting evaluations of human resources. These difficulties are aligned with the findings of a research study by Trigunarsyah et al. (2023), the primary obstacle hindering the implementation of appropriate QMS within the Saudi Construction Company (SCC) is the over-reliance on a single type of standard, such as ISO 9001:2015, without due consideration of the specific requirements of the domestic market.  </w:t>
      </w:r>
    </w:p>
    <w:p w14:paraId="6F5A2515">
      <w:pPr>
        <w:pStyle w:val="4"/>
        <w:rPr>
          <w:highlight w:val="none"/>
        </w:rPr>
      </w:pPr>
      <w:r>
        <w:rPr>
          <w:highlight w:val="none"/>
        </w:rPr>
        <w:t xml:space="preserve">Documentation Complexity and Misinterpretation Hindering the Effective QMS Implementation   </w:t>
      </w:r>
    </w:p>
    <w:p w14:paraId="1AA3A41F">
      <w:pPr>
        <w:rPr>
          <w:highlight w:val="none"/>
        </w:rPr>
      </w:pPr>
      <w:r>
        <w:rPr>
          <w:highlight w:val="none"/>
        </w:rPr>
        <w:t xml:space="preserve">Scholarly sources claim that a lack of understanding or unfamiliarity with the basic documentation requirements results in a substantial amount of excess paperwork that is difficult to manage or govern. In addition, Masuin et al. (2020) found that substantial obstacles, such as the organisation’s attitude to quality assurance and their performance in nonconformance reporting and submissions, limit the successful execution of QMS. In addition, </w:t>
      </w:r>
      <w:r>
        <w:rPr>
          <w:rFonts w:eastAsia="Times New Roman" w:cs="Times New Roman"/>
          <w:color w:val="000000"/>
          <w:szCs w:val="24"/>
          <w:highlight w:val="none"/>
        </w:rPr>
        <w:t>Mokwena</w:t>
      </w:r>
      <w:r>
        <w:rPr>
          <w:highlight w:val="none"/>
        </w:rPr>
        <w:t xml:space="preserve"> (2020) also posited that the amount of information and paperwork needed is a significant obstacle to implementing QMS in building projects. These obstacles are viewed as being essential elements in the implementation of QMS. This is because a successful Quality Management System (QMS) necessitates the management of a sizable number of documentation-related tasks throughout the system's implementation process (</w:t>
      </w:r>
      <w:r>
        <w:rPr>
          <w:rFonts w:eastAsia="Times New Roman" w:cs="Times New Roman"/>
          <w:color w:val="000000"/>
          <w:szCs w:val="24"/>
          <w:highlight w:val="none"/>
        </w:rPr>
        <w:t>Nasereddin and Price, 2021)</w:t>
      </w:r>
      <w:r>
        <w:rPr>
          <w:highlight w:val="none"/>
        </w:rPr>
        <w:t>. The issue of incorrectly understanding QMS requirements is related to the complex necessary components of a Quality Management System (QMS), which are sometimes difficult to understand owing to the abstract vocabulary they use (</w:t>
      </w:r>
      <w:r>
        <w:rPr>
          <w:rFonts w:eastAsia="Times New Roman" w:cs="Times New Roman"/>
          <w:color w:val="000000"/>
          <w:szCs w:val="24"/>
          <w:highlight w:val="none"/>
        </w:rPr>
        <w:t>Egwunatum et al., 2022)</w:t>
      </w:r>
      <w:r>
        <w:rPr>
          <w:highlight w:val="none"/>
        </w:rPr>
        <w:t>. Numerous studies have recognised this difficulty as a hindrance to the QMS's successful deployment. Additionally, a company's insufficient expertise and resources make it challenging to comprehend a QMS's requirements.</w:t>
      </w:r>
    </w:p>
    <w:p w14:paraId="097D0897">
      <w:pPr>
        <w:pStyle w:val="4"/>
        <w:rPr>
          <w:highlight w:val="none"/>
          <w:lang w:val="en-US"/>
        </w:rPr>
      </w:pPr>
      <w:r>
        <w:rPr>
          <w:highlight w:val="none"/>
          <w:lang w:val="en-US"/>
        </w:rPr>
        <w:t xml:space="preserve">Lack of Communication </w:t>
      </w:r>
    </w:p>
    <w:p w14:paraId="0EB65287">
      <w:pPr>
        <w:rPr>
          <w:highlight w:val="none"/>
          <w:lang w:val="en-US"/>
        </w:rPr>
      </w:pPr>
      <w:r>
        <w:rPr>
          <w:highlight w:val="none"/>
        </w:rPr>
        <w:t xml:space="preserve">A major barrier to the adoption of a Quality Management System (QMS) is inefficient communication, which is required for the successful implementation of a QMS both inside and outside the organisation. </w:t>
      </w:r>
      <w:r>
        <w:rPr>
          <w:rFonts w:eastAsia="Times New Roman" w:cs="Times New Roman"/>
          <w:color w:val="000000"/>
          <w:szCs w:val="24"/>
          <w:highlight w:val="none"/>
        </w:rPr>
        <w:t>Samanta</w:t>
      </w:r>
      <w:r>
        <w:rPr>
          <w:highlight w:val="none"/>
        </w:rPr>
        <w:t xml:space="preserve"> and </w:t>
      </w:r>
      <w:r>
        <w:rPr>
          <w:rFonts w:eastAsia="Times New Roman" w:cs="Times New Roman"/>
          <w:color w:val="000000"/>
          <w:szCs w:val="24"/>
          <w:highlight w:val="none"/>
        </w:rPr>
        <w:t>Gochhayat</w:t>
      </w:r>
      <w:r>
        <w:rPr>
          <w:highlight w:val="none"/>
        </w:rPr>
        <w:t xml:space="preserve"> , 2023 asserted that poor communication in the construction sector is ascribed to a lack of knowledge and resources, insufficient skill and training, and miscommunications amongst staff members resulting from different cultural and racial origins. </w:t>
      </w:r>
      <w:r>
        <w:rPr>
          <w:rFonts w:eastAsia="Times New Roman" w:cs="Times New Roman"/>
          <w:color w:val="000000"/>
          <w:szCs w:val="24"/>
          <w:highlight w:val="none"/>
        </w:rPr>
        <w:t>Ajgaonkar</w:t>
      </w:r>
      <w:r>
        <w:rPr>
          <w:highlight w:val="none"/>
        </w:rPr>
        <w:t xml:space="preserve"> et al. </w:t>
      </w:r>
      <w:r>
        <w:rPr>
          <w:highlight w:val="none"/>
          <w:lang w:val="en-US"/>
        </w:rPr>
        <w:t>(2022), in defining challenges, highlighted that a partial perception that QMS application may cause work disruption or loss of productivity, a multicultural work environment leading to discrepancies in QMS comprehension, insufficient commitment, and resistance to change current practices for embracing better QMS, and a lack of combined standards and specifications in the local construction sector.</w:t>
      </w:r>
    </w:p>
    <w:p w14:paraId="05607E43">
      <w:pPr>
        <w:jc w:val="center"/>
        <w:rPr>
          <w:highlight w:val="none"/>
          <w:lang w:val="en-US"/>
        </w:rPr>
      </w:pPr>
      <w:r>
        <w:rPr>
          <w:highlight w:val="none"/>
          <w:lang w:val="en-US"/>
        </w:rPr>
        <w:drawing>
          <wp:inline distT="0" distB="0" distL="0" distR="0">
            <wp:extent cx="5238750" cy="4429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38750" cy="4429125"/>
                    </a:xfrm>
                    <a:prstGeom prst="rect">
                      <a:avLst/>
                    </a:prstGeom>
                  </pic:spPr>
                </pic:pic>
              </a:graphicData>
            </a:graphic>
          </wp:inline>
        </w:drawing>
      </w:r>
    </w:p>
    <w:p w14:paraId="0EC8C882">
      <w:pPr>
        <w:jc w:val="center"/>
        <w:rPr>
          <w:i/>
          <w:sz w:val="20"/>
          <w:szCs w:val="20"/>
          <w:highlight w:val="none"/>
        </w:rPr>
      </w:pPr>
      <w:r>
        <w:rPr>
          <w:i/>
          <w:sz w:val="20"/>
          <w:szCs w:val="20"/>
          <w:highlight w:val="none"/>
        </w:rPr>
        <w:t>(Ahmed, 2020)</w:t>
      </w:r>
    </w:p>
    <w:p w14:paraId="1DBC3D36">
      <w:pPr>
        <w:rPr>
          <w:highlight w:val="none"/>
        </w:rPr>
      </w:pPr>
    </w:p>
    <w:p w14:paraId="477FA3F1">
      <w:pPr>
        <w:pStyle w:val="3"/>
        <w:rPr>
          <w:highlight w:val="none"/>
          <w:lang w:val="en-US"/>
        </w:rPr>
      </w:pPr>
      <w:r>
        <w:rPr>
          <w:highlight w:val="none"/>
          <w:lang w:val="en-US"/>
        </w:rPr>
        <w:t>Research Gap</w:t>
      </w:r>
    </w:p>
    <w:p w14:paraId="3A077CAA">
      <w:pPr>
        <w:rPr>
          <w:highlight w:val="none"/>
          <w:lang w:val="en-US"/>
        </w:rPr>
      </w:pPr>
      <w:r>
        <w:rPr>
          <w:highlight w:val="none"/>
          <w:lang w:val="en-US"/>
        </w:rPr>
        <w:t>The studies in the context of QMS implementation and challenges have been published in other countries, including Australia, Egypt, Yemen, the USA, and Canada. The relationship between the quality management system and project success has been the subject of numerous studies. However, none of the associations was found that specifically addressed the issue in the KSA region, despite the fact that there is already research on QMS adoption in the global construction sector, studies that specifically address the particular challenges that construction organisations in the Kingdom of Saudi Arabia encounter are lacking in detail. The acceptance and efficacy of QMS in this particular scenario can be strongly impacted by the cultural, legislative, and economic situation in KSA. Therefore, additional contextualised and localised research is required to dive deeper into the difficulties experienced by construction organisations in KSA while implementing QMS. The results of earlier research were also less conclusive and valid because of the small sample sizes and limited use of statistical methods. However, this study will provide a thorough examination of the influence of quality management practices on the accomplishment of building projects in KSA, thereby bridging the aforementioned gap.</w:t>
      </w:r>
    </w:p>
    <w:p w14:paraId="48382D41">
      <w:pPr>
        <w:pStyle w:val="3"/>
        <w:rPr>
          <w:highlight w:val="none"/>
          <w:lang w:val="en-US"/>
        </w:rPr>
      </w:pPr>
      <w:r>
        <w:rPr>
          <w:highlight w:val="none"/>
          <w:lang w:val="en-US"/>
        </w:rPr>
        <w:t>Summary</w:t>
      </w:r>
    </w:p>
    <w:p w14:paraId="62793622">
      <w:pPr>
        <w:rPr>
          <w:highlight w:val="none"/>
          <w:lang w:val="en-US"/>
        </w:rPr>
      </w:pPr>
      <w:r>
        <w:rPr>
          <w:highlight w:val="none"/>
          <w:lang w:val="en-US"/>
        </w:rPr>
        <w:t xml:space="preserve">The literature review demonstrated the broad nature of studies in the context of QMS implementation effectiveness, significance and challenges in the construction sector. Also, the previous findings on the KSA construction sector that has been employing QMS also explored its success and backdrops. The identifying challenges associated with QMS implementation in the construction sector indicated that organisational culture, lack of communication, resistance to change, inadequate knowledge and awareness, poor documentation, financial lacking, and unsupported management restrict the efficiency of QMS implementation. </w:t>
      </w:r>
    </w:p>
    <w:p w14:paraId="13AC4391">
      <w:pPr>
        <w:pStyle w:val="2"/>
        <w:numPr>
          <w:ilvl w:val="0"/>
          <w:numId w:val="0"/>
        </w:numPr>
        <w:ind w:left="432" w:hanging="432"/>
        <w:jc w:val="left"/>
        <w:rPr>
          <w:sz w:val="32"/>
          <w:szCs w:val="40"/>
          <w:highlight w:val="none"/>
          <w:u w:val="double"/>
          <w:lang w:val="en-US"/>
        </w:rPr>
      </w:pPr>
      <w:r>
        <w:rPr>
          <w:sz w:val="32"/>
          <w:szCs w:val="40"/>
          <w:highlight w:val="none"/>
          <w:u w:val="double"/>
          <w:lang w:val="en-US"/>
        </w:rPr>
        <w:t>CHAPTER THREE</w:t>
      </w:r>
    </w:p>
    <w:p w14:paraId="155FF4E2">
      <w:pPr>
        <w:pStyle w:val="2"/>
        <w:rPr>
          <w:highlight w:val="none"/>
          <w:lang w:val="en-US"/>
        </w:rPr>
      </w:pPr>
      <w:r>
        <w:rPr>
          <w:highlight w:val="none"/>
          <w:lang w:val="en-US"/>
        </w:rPr>
        <w:t>Methodology</w:t>
      </w:r>
    </w:p>
    <w:p w14:paraId="1933E508">
      <w:pPr>
        <w:pStyle w:val="3"/>
        <w:rPr>
          <w:highlight w:val="none"/>
          <w:lang w:val="en-US"/>
        </w:rPr>
      </w:pPr>
      <w:r>
        <w:rPr>
          <w:highlight w:val="none"/>
          <w:lang w:val="en-US"/>
        </w:rPr>
        <w:t>Research Philosophy</w:t>
      </w:r>
    </w:p>
    <w:p w14:paraId="60520848">
      <w:pPr>
        <w:rPr>
          <w:highlight w:val="none"/>
          <w:lang w:val="en-US"/>
        </w:rPr>
      </w:pPr>
      <w:r>
        <w:rPr>
          <w:highlight w:val="none"/>
          <w:lang w:val="en-US"/>
        </w:rPr>
        <w:t>The study focuses on examining the challenges in the efficient planning of a quality management system in the constructive industry in the Kingdom of Saudi Arabia. This shows that the study includes the primary data involving the surveys or the questionnaire data in conducting the research methodology (Sarhan et al., 2017). There are several articles presented internationally which has a major centre of attraction on the implementation of the quality management system but specifically for the region of Saudi Arabia, it isn’t easy to notice a particular study in analyzing the findings of it. The study applies quantitative data analysis and needs a well-maintained and well-structured questionnaire to analyse the research study. Research Philosophy interacts with the nature of the study whether the study is based on qualitative or quantitative data analysis (Sarhan et al., 2018). The study in effective implementation of quality management focuses on the quantitative data techniques which examined the data. The research study implies a deductive approach to analysing the effectiveness of the quality management system in the Kingdom of Saudi Arabia (Shaqour, 2022).</w:t>
      </w:r>
    </w:p>
    <w:p w14:paraId="7D472887">
      <w:pPr>
        <w:rPr>
          <w:highlight w:val="none"/>
          <w:lang w:val="en-US"/>
        </w:rPr>
      </w:pPr>
    </w:p>
    <w:p w14:paraId="677AA478">
      <w:pPr>
        <w:rPr>
          <w:highlight w:val="none"/>
          <w:lang w:val="en-US"/>
        </w:rPr>
      </w:pPr>
      <w:r>
        <w:rPr>
          <w:highlight w:val="none"/>
          <w:lang w:val="en-US"/>
        </w:rPr>
        <w:t>Interpretivism Research Philosophy: this research philosophy explains the sociological aspect of the research in which the phase or the action takes place depending on the experiences, trusts, and importance of the society (Bajjou and Chafi, 2018). A qualitative data study is essential for the data related to the person’s reaction to social outcomes. Participants are collected for analysing their beliefs in identifying the practical approach to the quality management system in Saudi Arabia. The valuable aspects of the research study show that people are determining the quality either based on the dependent or the independent values, which are considering the quality assurance aspects in checking the positive impacts of the quality on the constructive company. The research methodology emphasises the inductive approach (Ahmed et al., 2021).</w:t>
      </w:r>
    </w:p>
    <w:p w14:paraId="6373B1A5">
      <w:pPr>
        <w:rPr>
          <w:highlight w:val="none"/>
          <w:lang w:val="en-US"/>
        </w:rPr>
      </w:pPr>
      <w:r>
        <w:rPr>
          <w:highlight w:val="none"/>
          <w:lang w:val="en-US"/>
        </w:rPr>
        <w:t>Positivism Research Philosophy: This part of the research philosophy seeks information that depends upon the data that can be analysed, recorded, and observed within the research. Positivism research seeks to attract quantitative data analysis. The research study data is collected from the number of measured observations (Blaise, 2019). The findings for this research philosophy were conducted through several surveys and a questionnaire for explaining the research in detail. The study gives hypothetical considerations in support of the deductive that are measured through the variables and the numbers of the scientific approaches to the research (Sarhan et al., 2017).</w:t>
      </w:r>
    </w:p>
    <w:p w14:paraId="6A065710">
      <w:pPr>
        <w:rPr>
          <w:highlight w:val="none"/>
          <w:lang w:val="en-US"/>
        </w:rPr>
      </w:pPr>
      <w:r>
        <w:rPr>
          <w:highlight w:val="none"/>
          <w:lang w:val="en-US"/>
        </w:rPr>
        <w:t>The rationale for Choosing Positivism: This study has been demonstrating to choose positivism in the research philosophy that could be considered with objectivity, empirical evidence and the use of the scientific method in the study and acknowledged social phenomena. This study adopts a positivist approach, the research aims to uncover the object truth and the casual relationship under the specific consideration. In this case of challenges in QMS implication, Positivism has been approaching unbiased analysis of the underlying factors contributing to the challenges that have been facilitating more accurate results in the study approach.</w:t>
      </w:r>
    </w:p>
    <w:p w14:paraId="6187750A">
      <w:pPr>
        <w:pStyle w:val="3"/>
        <w:rPr>
          <w:highlight w:val="none"/>
          <w:lang w:val="en-US"/>
        </w:rPr>
      </w:pPr>
      <w:r>
        <w:rPr>
          <w:highlight w:val="none"/>
          <w:lang w:val="en-US"/>
        </w:rPr>
        <w:t>Research approach</w:t>
      </w:r>
    </w:p>
    <w:p w14:paraId="22A169D9">
      <w:pPr>
        <w:rPr>
          <w:highlight w:val="none"/>
          <w:lang w:val="en-US"/>
        </w:rPr>
      </w:pPr>
      <w:r>
        <w:rPr>
          <w:highlight w:val="none"/>
          <w:lang w:val="en-US"/>
        </w:rPr>
        <w:t>To determine the planning of the construction in Saudi Arabia Construction Company, a vital questionnaire survey was established to understand the deep knowledge of the construction site in Saudi Arabia (Sarhan et al., 2018). The approach gives importance to the quantitative techniques and tools that are increasing the actions taken for explaining the challenges occurring for an efficient implementation in the Saudi Arabia construction industry. The research approach consists of three aspects for the study first one is qualitative, the second one is quantitative, and the third one combination of both the study which means a mixed study (Shaqour, 2022). But the research study for implementing quality management on the construction site in Saudi Arabia is conducting a quantitative research approach. The research conducts the points regarding the study in checking the stages for implementing the quality management system in the Kingdom of Saudi Arabia construction company. Also, it evaluates the benefits in the role of a quality management system which can overcome the challenges in the construction industry of Saudi Arabia (Bajjou and Chafi, 2018).</w:t>
      </w:r>
    </w:p>
    <w:p w14:paraId="0E56FE2B">
      <w:pPr>
        <w:rPr>
          <w:highlight w:val="none"/>
          <w:lang w:val="en-US"/>
        </w:rPr>
      </w:pPr>
    </w:p>
    <w:p w14:paraId="49C4D29B">
      <w:pPr>
        <w:rPr>
          <w:highlight w:val="none"/>
          <w:lang w:val="en-US"/>
        </w:rPr>
      </w:pPr>
      <w:r>
        <w:rPr>
          <w:highlight w:val="none"/>
          <w:lang w:val="en-US"/>
        </w:rPr>
        <w:t xml:space="preserve">Deductive approach: the deductive approach includes the research with the beginning of establishing the hypothetical facts from the study. Then the facts are examined and collected to check the hypothetical considerations for the research study. The deductive approach emphasises the quantitative data analysis within the research study (Hadidi et al, 2017). However, the deductive approach would be a better insight that would be tested under the resistance of their hypotheses through the data collection of the relevance of data. It would also be allowing the verification or the rejection of the relevance hypothesis as the pre-establishment. </w:t>
      </w:r>
    </w:p>
    <w:p w14:paraId="3C35769E">
      <w:pPr>
        <w:rPr>
          <w:highlight w:val="none"/>
          <w:lang w:val="en-US"/>
        </w:rPr>
      </w:pPr>
      <w:r>
        <w:rPr>
          <w:highlight w:val="none"/>
          <w:lang w:val="en-US"/>
        </w:rPr>
        <w:t xml:space="preserve">Inductive approach: the inductive approach focuses on the explanation that the researcher gathers the information connected to the research study. This gives importance to the qualitative data analysis study for the research (Blaise, 2019). However, the inductive approach has have been considered with the inclusion that generated new insights into the phenomena and the theories, which is based on the specific observation and the data collection. It would be allowing the deeper acknowledgement of the study and it would enable to demonstration of the pattern and relation. </w:t>
      </w:r>
    </w:p>
    <w:p w14:paraId="0E86E39B">
      <w:pPr>
        <w:rPr>
          <w:highlight w:val="none"/>
          <w:lang w:val="en-US"/>
        </w:rPr>
      </w:pPr>
      <w:r>
        <w:rPr>
          <w:highlight w:val="none"/>
          <w:lang w:val="en-US"/>
        </w:rPr>
        <w:t>The rationale for Choosing the Deductive Approach: This study has chosen the deductive techniques because this study would demonstrate the particular theory by collecting and analysing the empirical data. This approach would allow this research to start with a well-determined theoretical framework and then empirically validate the proposed hypotheses. The challenges in QMS implication, the deductive approach is suitable to formulate the hypotheses based on existing literature, gathering and confirming the data that would disprove the hypotheses, and it would lead to more focused and rigorous insights to determine the challenges.</w:t>
      </w:r>
    </w:p>
    <w:p w14:paraId="0835C55D">
      <w:pPr>
        <w:pStyle w:val="3"/>
        <w:rPr>
          <w:highlight w:val="none"/>
          <w:lang w:val="en-US"/>
        </w:rPr>
      </w:pPr>
      <w:r>
        <w:rPr>
          <w:highlight w:val="none"/>
          <w:lang w:val="en-US"/>
        </w:rPr>
        <w:t>Research Design</w:t>
      </w:r>
    </w:p>
    <w:p w14:paraId="1F7EC7F0">
      <w:pPr>
        <w:rPr>
          <w:highlight w:val="none"/>
          <w:lang w:val="en-US"/>
        </w:rPr>
      </w:pPr>
      <w:r>
        <w:rPr>
          <w:highlight w:val="none"/>
          <w:lang w:val="en-US"/>
        </w:rPr>
        <w:t>The research design is the setup of the techniques for the research selected by the researchers based on the research topic on which the research is taking place. The research design framework enables the researchers to permit the research methods suitable for the research and reach the study success level (Ahmed et al., 2021). The researcher within this research study aims to give focus on the quantitative research design for approaching the outcomes of the research study. The quantitative research study results, or outcomes are estimated using numerical values. The data analysis states that the Kingdom of Saudi Arabia has measured a significant number of enhancements in the construction site during the last two years (Al-Yami and Sanni-Anibire, 2021). But the people faced the time delaying outcomes, issues in the pricing of the materials used during the construction process, and a more significant amount of waste present during the quality management system. The quantitative study addresses some challenges within the Kingdom of Saudi Arabia’s construction industry (Sarhan et al., 2018).</w:t>
      </w:r>
    </w:p>
    <w:p w14:paraId="140F0BC5">
      <w:pPr>
        <w:rPr>
          <w:highlight w:val="none"/>
          <w:lang w:val="en-US"/>
        </w:rPr>
      </w:pPr>
    </w:p>
    <w:p w14:paraId="453C66C4">
      <w:pPr>
        <w:rPr>
          <w:highlight w:val="none"/>
          <w:lang w:val="en-US"/>
        </w:rPr>
      </w:pPr>
      <w:r>
        <w:rPr>
          <w:highlight w:val="none"/>
          <w:lang w:val="en-US"/>
        </w:rPr>
        <w:t>Quantitative research design: the quantitative research design of the study uses experimental or descriptive analysis for the findings of the data within the study. The 282 construction professionals check the number of participants in conducting the questionnaire survey for the research for analysing the impact of quality in the construction industry. The design uses the CAD tool which stands for Computer-Aided Design to interpret the implementation of the construction in terms of its quality (Sarhan et al., 2017).</w:t>
      </w:r>
    </w:p>
    <w:p w14:paraId="00F564E2">
      <w:pPr>
        <w:rPr>
          <w:highlight w:val="none"/>
          <w:lang w:val="en-US"/>
        </w:rPr>
      </w:pPr>
      <w:r>
        <w:rPr>
          <w:highlight w:val="none"/>
          <w:lang w:val="en-US"/>
        </w:rPr>
        <w:t xml:space="preserve">Qualitative research design: the qualitative research design of the study uses the observations of the participants for conducting a well-structured and theoretical design relevant to the research study (Bajjou and Chafi, 2018). However, the qualitative desiring included the words and the definition regardless of the statistical norm or the numerical inclusion. The researcher would be choosing qualitative research to investigate the more profound analysis of the systematised review, or the thematic analyzation which will conduct through open-ended questions to gather that data and analyse further the results and findings. </w:t>
      </w:r>
    </w:p>
    <w:p w14:paraId="72037EBF">
      <w:pPr>
        <w:rPr>
          <w:highlight w:val="none"/>
          <w:lang w:val="en-US"/>
        </w:rPr>
      </w:pPr>
      <w:r>
        <w:rPr>
          <w:highlight w:val="none"/>
          <w:lang w:val="en-US"/>
        </w:rPr>
        <w:t xml:space="preserve">The rationale for Choosing Quantitative Research: This study has been considering the suitable challenges in the QSM implementation due the enabling the researcher to investigate the prevalence and severity of the particular challenges., to determine the correlation among the variables and the statistical analysis (SPSS) that would influence the numerous factors on the implication procedure. The Quantitative data has been delivering a more structured ad quantifiable acknowledgement of the challenges that would be crucial in making information decisions and recommendations. </w:t>
      </w:r>
    </w:p>
    <w:p w14:paraId="4E9EA3AB">
      <w:pPr>
        <w:pStyle w:val="3"/>
        <w:rPr>
          <w:highlight w:val="none"/>
          <w:lang w:val="en-US"/>
        </w:rPr>
      </w:pPr>
      <w:r>
        <w:rPr>
          <w:highlight w:val="none"/>
          <w:lang w:val="en-US"/>
        </w:rPr>
        <w:t>Data Collection Process</w:t>
      </w:r>
    </w:p>
    <w:p w14:paraId="08473C1F">
      <w:pPr>
        <w:rPr>
          <w:highlight w:val="none"/>
          <w:lang w:val="en-US"/>
        </w:rPr>
      </w:pPr>
      <w:r>
        <w:rPr>
          <w:highlight w:val="none"/>
          <w:lang w:val="en-US"/>
        </w:rPr>
        <w:t>The data collection procedures are carried out to collect the knowledge or the information depending upon the study's numbers, variables, or theoretical background. The data which is collected aims to give the answers to the research questions of the study (Hadidi et al, 2017). The research questions of the study point out the advantages of the QMS, which is a quality management system in the construction industry within Saudi Arabia and putting the best applications for achieving a successful QMS in a construction site in Saudi Arabia (Sarhan et al., 2018).</w:t>
      </w:r>
    </w:p>
    <w:p w14:paraId="3A9856D1">
      <w:pPr>
        <w:rPr>
          <w:highlight w:val="none"/>
          <w:lang w:val="en-US"/>
        </w:rPr>
      </w:pPr>
    </w:p>
    <w:p w14:paraId="135BD8C5">
      <w:pPr>
        <w:rPr>
          <w:highlight w:val="none"/>
          <w:lang w:val="en-US"/>
        </w:rPr>
      </w:pPr>
      <w:r>
        <w:rPr>
          <w:highlight w:val="none"/>
          <w:lang w:val="en-US"/>
        </w:rPr>
        <w:t>Primary data: The questionnaire examines the observations that enable the researchers to contrast the findings of the person’s interpretation through the empirical data. The questionnaire is adopted for the participants’ 1</w:t>
      </w:r>
      <w:r>
        <w:rPr>
          <w:highlight w:val="none"/>
          <w:vertAlign w:val="superscript"/>
          <w:lang w:val="en-US"/>
        </w:rPr>
        <w:t>st</w:t>
      </w:r>
      <w:r>
        <w:rPr>
          <w:highlight w:val="none"/>
          <w:lang w:val="en-US"/>
        </w:rPr>
        <w:t xml:space="preserve"> half and second half. The response from 282 construction professionals is received during the survey (Sarhan et al., 2017). The response generated a percentage ratio of 35%, including the Saudi council engineers, contractors, architects, customers, and project managers. In the first half, the engineers send the online survey invitation to the member receiving the 155 responses, and in the second half give the hard copy of the surveys to the contracting industries or the clients generating a response of 127 people (Sarhan et al., 2018).</w:t>
      </w:r>
    </w:p>
    <w:p w14:paraId="598C8D8C">
      <w:pPr>
        <w:rPr>
          <w:highlight w:val="none"/>
          <w:lang w:val="en-US"/>
        </w:rPr>
      </w:pPr>
      <w:r>
        <w:rPr>
          <w:highlight w:val="none"/>
          <w:lang w:val="en-US"/>
        </w:rPr>
        <w:t xml:space="preserve">Secondary Data: secondary data collection has been involved to gathered and analysing the data that has been already collected and published in articles or the corporation aime rather than the particular research study. The secondary data is collected from books, articles, journals, or other resources depending upon the data collected by the other person (Uhm et al., 2017). This data would come from a variety of resources. This study on the challenges implication as the Quality Management System has been constructing the corporation in the KSA to collect data that would be beneficial. </w:t>
      </w:r>
    </w:p>
    <w:p w14:paraId="71D63EE0">
      <w:pPr>
        <w:rPr>
          <w:highlight w:val="none"/>
          <w:lang w:val="en-US"/>
        </w:rPr>
      </w:pPr>
      <w:r>
        <w:rPr>
          <w:highlight w:val="none"/>
          <w:lang w:val="en-US"/>
        </w:rPr>
        <w:t xml:space="preserve">The rationale for Choosing Primary Data Collection: The primary data collection has been gathering the first gains information directly to the resources through surveys, interviews or observation. This study would be choosing Primary data collection for analysing the challenges in the QMS implication that allow the researchers to tailor the data collection methods to the particular construction corporation in KSA. These techniques will ensure to collection of relevant data, timing and particular to the challenges that I faced by the corporations. In addition, the primary data collection would facilitate a deeper exploration of the challenges and deliver opportunities for clarification and follow the question that encourages the validity and reliability of the study observation. </w:t>
      </w:r>
    </w:p>
    <w:p w14:paraId="4A51A293">
      <w:pPr>
        <w:pStyle w:val="3"/>
        <w:rPr>
          <w:highlight w:val="none"/>
          <w:lang w:val="en-US"/>
        </w:rPr>
      </w:pPr>
      <w:r>
        <w:rPr>
          <w:highlight w:val="none"/>
          <w:lang w:val="en-US"/>
        </w:rPr>
        <w:t>Data Analysis</w:t>
      </w:r>
    </w:p>
    <w:p w14:paraId="2FE0348C">
      <w:pPr>
        <w:rPr>
          <w:highlight w:val="none"/>
          <w:lang w:val="en-US"/>
        </w:rPr>
      </w:pPr>
      <w:r>
        <w:rPr>
          <w:highlight w:val="none"/>
          <w:lang w:val="en-US"/>
        </w:rPr>
        <w:t>The data analysis procedure has been a critically stepping in the study that would include and extract meaningful insights from the data collection. In the particular study, the primary research has been considered with the questionnaire data analysis that as ben deriving the primary data obtained through the questionnaire survey. This technique would include the usage of a statistical approach to analyse and interpret the numerical data gathered from the respondents. The data analysis identifies the quantitative data analysis for the research study, including the primary data for conducting the questionnaire survey (Blaise, 2019). Variables show the interpretation of the quantitative data that is the inclusive criteria of the research. At the same time, exclusive criteria of the data depict the qualitative data analysis (Elshafey et al., 2020).</w:t>
      </w:r>
    </w:p>
    <w:p w14:paraId="390F973C">
      <w:pPr>
        <w:rPr>
          <w:highlight w:val="none"/>
          <w:lang w:val="en-US"/>
        </w:rPr>
      </w:pPr>
    </w:p>
    <w:p w14:paraId="2A3106BC">
      <w:pPr>
        <w:pStyle w:val="3"/>
        <w:rPr>
          <w:highlight w:val="none"/>
          <w:lang w:val="en-US"/>
        </w:rPr>
      </w:pPr>
      <w:r>
        <w:rPr>
          <w:highlight w:val="none"/>
          <w:lang w:val="en-US"/>
        </w:rPr>
        <w:t>Ethical consideration</w:t>
      </w:r>
    </w:p>
    <w:p w14:paraId="3672293E">
      <w:pPr>
        <w:rPr>
          <w:highlight w:val="none"/>
          <w:lang w:val="en-US"/>
        </w:rPr>
      </w:pPr>
      <w:r>
        <w:rPr>
          <w:highlight w:val="none"/>
          <w:lang w:val="en-US"/>
        </w:rPr>
        <w:t xml:space="preserve">The ethical consideration of the research considers the guidance of the research design, which is the quantitative research within the research study (Sarhan et al., 2017). The ethical consideration would be utmost in any research that would ensure the research that is constructed ethically and responsibly. In this case, conducting a quantitative research study uses primary data collection with numerous ethical principles that should be followed. </w:t>
      </w:r>
    </w:p>
    <w:p w14:paraId="38CBE983">
      <w:pPr>
        <w:pStyle w:val="2"/>
        <w:numPr>
          <w:ilvl w:val="0"/>
          <w:numId w:val="0"/>
        </w:numPr>
        <w:ind w:left="432" w:hanging="432"/>
        <w:jc w:val="left"/>
        <w:rPr>
          <w:sz w:val="32"/>
          <w:szCs w:val="40"/>
          <w:highlight w:val="none"/>
          <w:u w:val="double"/>
          <w:lang w:val="en-US"/>
        </w:rPr>
      </w:pPr>
      <w:r>
        <w:rPr>
          <w:sz w:val="32"/>
          <w:szCs w:val="40"/>
          <w:highlight w:val="none"/>
          <w:u w:val="double"/>
          <w:lang w:val="en-US"/>
        </w:rPr>
        <w:t>CHAPTER FOUR</w:t>
      </w:r>
    </w:p>
    <w:p w14:paraId="5C14B10F">
      <w:pPr>
        <w:rPr>
          <w:highlight w:val="none"/>
          <w:lang w:val="en-US"/>
        </w:rPr>
      </w:pPr>
    </w:p>
    <w:p w14:paraId="31B493F4">
      <w:pPr>
        <w:pStyle w:val="2"/>
        <w:rPr>
          <w:highlight w:val="none"/>
          <w:lang w:val="en-US"/>
        </w:rPr>
      </w:pPr>
      <w:r>
        <w:rPr>
          <w:highlight w:val="none"/>
        </w:rPr>
        <w:t xml:space="preserve">Results and Findings </w:t>
      </w:r>
    </w:p>
    <w:p w14:paraId="4745C10C">
      <w:pPr>
        <w:rPr>
          <w:bCs/>
          <w:highlight w:val="none"/>
          <w:lang w:val="en-US"/>
        </w:rPr>
      </w:pPr>
      <w:r>
        <w:rPr>
          <w:highlight w:val="none"/>
          <w:lang w:val="en-US"/>
        </w:rPr>
        <w:t xml:space="preserve">This study has been determined to analyse the significant challenges that would influence the effective implementation of the quality management system in the construction corporation in the Kingdom of Saudi Arabia. To make the questionnaire interview based on the primary qualitative research was constructed in this study due to the better retention of participants. This study will be conducted with 282 respondents who would be agreed to give their answers for the online survey. Moreover, this study has been considered with a 5 Likert scale for better construction of results. This study would be emphasised with the SPSS software for reliability and validity for the appropriate results to achieve the finding. However, this study would be produced descriptive statistics, T-test, regression and reliability statistics. </w:t>
      </w:r>
    </w:p>
    <w:p w14:paraId="04CA8F37">
      <w:pPr>
        <w:pStyle w:val="3"/>
        <w:numPr>
          <w:ilvl w:val="1"/>
          <w:numId w:val="4"/>
        </w:numPr>
        <w:rPr>
          <w:highlight w:val="none"/>
          <w:lang w:val="en-US"/>
        </w:rPr>
      </w:pPr>
      <w:r>
        <w:rPr>
          <w:highlight w:val="none"/>
          <w:lang w:val="en-US"/>
        </w:rPr>
        <w:t>Reliability Test</w:t>
      </w:r>
    </w:p>
    <w:p w14:paraId="635E8872">
      <w:pPr>
        <w:autoSpaceDE w:val="0"/>
        <w:autoSpaceDN w:val="0"/>
        <w:adjustRightInd w:val="0"/>
        <w:spacing w:after="0" w:line="240" w:lineRule="auto"/>
        <w:jc w:val="left"/>
        <w:rPr>
          <w:rFonts w:cs="Times New Roman"/>
          <w:szCs w:val="24"/>
          <w:highlight w:val="none"/>
          <w:lang w:val="en-US"/>
        </w:rPr>
      </w:pPr>
    </w:p>
    <w:tbl>
      <w:tblPr>
        <w:tblStyle w:val="12"/>
        <w:tblW w:w="414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494"/>
        <w:gridCol w:w="1494"/>
        <w:gridCol w:w="1152"/>
      </w:tblGrid>
      <w:tr w14:paraId="0E1B74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4143" w:type="dxa"/>
            <w:gridSpan w:val="3"/>
            <w:tcBorders>
              <w:top w:val="nil"/>
              <w:left w:val="nil"/>
              <w:bottom w:val="nil"/>
              <w:right w:val="nil"/>
            </w:tcBorders>
            <w:shd w:val="clear" w:color="auto" w:fill="FFFFFF"/>
          </w:tcPr>
          <w:p w14:paraId="50D665D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b/>
                <w:bCs/>
                <w:color w:val="000000"/>
                <w:sz w:val="18"/>
                <w:szCs w:val="18"/>
                <w:highlight w:val="none"/>
                <w:lang w:val="en-US"/>
              </w:rPr>
              <w:t>Reliability Statistics</w:t>
            </w:r>
          </w:p>
        </w:tc>
      </w:tr>
      <w:tr w14:paraId="18C032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495" w:type="dxa"/>
            <w:tcBorders>
              <w:top w:val="single" w:color="000000" w:sz="18" w:space="0"/>
              <w:left w:val="single" w:color="000000" w:sz="18" w:space="0"/>
              <w:bottom w:val="single" w:color="000000" w:sz="18" w:space="0"/>
              <w:right w:val="single" w:color="000000" w:sz="8" w:space="0"/>
            </w:tcBorders>
            <w:shd w:val="clear" w:color="auto" w:fill="FFFFFF"/>
          </w:tcPr>
          <w:p w14:paraId="65F2AA3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Cronbach's Alpha</w:t>
            </w:r>
          </w:p>
        </w:tc>
        <w:tc>
          <w:tcPr>
            <w:tcW w:w="1495" w:type="dxa"/>
            <w:tcBorders>
              <w:top w:val="single" w:color="000000" w:sz="18" w:space="0"/>
              <w:left w:val="single" w:color="000000" w:sz="8" w:space="0"/>
              <w:bottom w:val="single" w:color="000000" w:sz="18" w:space="0"/>
              <w:right w:val="single" w:color="000000" w:sz="8" w:space="0"/>
            </w:tcBorders>
            <w:shd w:val="clear" w:color="auto" w:fill="FFFFFF"/>
          </w:tcPr>
          <w:p w14:paraId="4A269FA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Cronbach's Alpha Based on Standardised Items</w:t>
            </w:r>
          </w:p>
        </w:tc>
        <w:tc>
          <w:tcPr>
            <w:tcW w:w="1153" w:type="dxa"/>
            <w:tcBorders>
              <w:top w:val="single" w:color="000000" w:sz="18" w:space="0"/>
              <w:left w:val="single" w:color="000000" w:sz="8" w:space="0"/>
              <w:bottom w:val="single" w:color="000000" w:sz="18" w:space="0"/>
              <w:right w:val="single" w:color="000000" w:sz="18" w:space="0"/>
            </w:tcBorders>
            <w:shd w:val="clear" w:color="auto" w:fill="FFFFFF"/>
          </w:tcPr>
          <w:p w14:paraId="43EE594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N of Items</w:t>
            </w:r>
          </w:p>
        </w:tc>
      </w:tr>
      <w:tr w14:paraId="5F563F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495" w:type="dxa"/>
            <w:tcBorders>
              <w:top w:val="single" w:color="000000" w:sz="18" w:space="0"/>
              <w:left w:val="single" w:color="000000" w:sz="18" w:space="0"/>
              <w:bottom w:val="single" w:color="000000" w:sz="18" w:space="0"/>
              <w:right w:val="single" w:color="000000" w:sz="8" w:space="0"/>
            </w:tcBorders>
            <w:shd w:val="clear" w:color="auto" w:fill="FFFFFF"/>
          </w:tcPr>
          <w:p w14:paraId="7733D779">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.078</w:t>
            </w:r>
          </w:p>
        </w:tc>
        <w:tc>
          <w:tcPr>
            <w:tcW w:w="1495" w:type="dxa"/>
            <w:tcBorders>
              <w:top w:val="single" w:color="000000" w:sz="18" w:space="0"/>
              <w:left w:val="single" w:color="000000" w:sz="8" w:space="0"/>
              <w:bottom w:val="single" w:color="000000" w:sz="18" w:space="0"/>
              <w:right w:val="single" w:color="000000" w:sz="8" w:space="0"/>
            </w:tcBorders>
            <w:shd w:val="clear" w:color="auto" w:fill="FFFFFF"/>
          </w:tcPr>
          <w:p w14:paraId="44A847F4">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.989</w:t>
            </w:r>
          </w:p>
        </w:tc>
        <w:tc>
          <w:tcPr>
            <w:tcW w:w="1153" w:type="dxa"/>
            <w:tcBorders>
              <w:top w:val="single" w:color="000000" w:sz="18" w:space="0"/>
              <w:left w:val="single" w:color="000000" w:sz="8" w:space="0"/>
              <w:bottom w:val="single" w:color="000000" w:sz="18" w:space="0"/>
              <w:right w:val="single" w:color="000000" w:sz="18" w:space="0"/>
            </w:tcBorders>
            <w:shd w:val="clear" w:color="auto" w:fill="FFFFFF"/>
          </w:tcPr>
          <w:p w14:paraId="45E62FF8">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16</w:t>
            </w:r>
          </w:p>
        </w:tc>
      </w:tr>
    </w:tbl>
    <w:p w14:paraId="0D751D85">
      <w:pPr>
        <w:rPr>
          <w:highlight w:val="none"/>
          <w:lang w:val="en-US"/>
        </w:rPr>
      </w:pPr>
    </w:p>
    <w:p w14:paraId="61011FC4">
      <w:pPr>
        <w:rPr>
          <w:highlight w:val="none"/>
          <w:lang w:val="en-US"/>
        </w:rPr>
      </w:pPr>
      <w:r>
        <w:rPr>
          <w:highlight w:val="none"/>
          <w:lang w:val="en-US"/>
        </w:rPr>
        <w:t xml:space="preserve">The reliability statistics have been reported the consistent with the respondent and the participant. The analysis has confirmed the questionnaire's validity and the search's reliability towards the relationship to the accurate scenario being studied. However, the Cronbach Alpha value has been considered 0.78, which is more significant than 0.6, indicating that this study's data collection has been reliable. The data analysed the consistency of 282 participants who could fill out the Google form, and there were 15 questions in this study. Furthermore, this study has been reliable for future researchers. </w:t>
      </w:r>
    </w:p>
    <w:tbl>
      <w:tblPr>
        <w:tblStyle w:val="12"/>
        <w:tblW w:w="790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29"/>
        <w:gridCol w:w="803"/>
        <w:gridCol w:w="838"/>
        <w:gridCol w:w="862"/>
        <w:gridCol w:w="801"/>
        <w:gridCol w:w="1168"/>
        <w:gridCol w:w="801"/>
        <w:gridCol w:w="903"/>
      </w:tblGrid>
      <w:tr w14:paraId="1DF349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09" w:hRule="atLeast"/>
          <w:jc w:val="center"/>
        </w:trPr>
        <w:tc>
          <w:tcPr>
            <w:tcW w:w="7901" w:type="dxa"/>
            <w:gridSpan w:val="8"/>
            <w:tcBorders>
              <w:top w:val="nil"/>
              <w:left w:val="nil"/>
              <w:bottom w:val="nil"/>
              <w:right w:val="nil"/>
            </w:tcBorders>
            <w:shd w:val="clear" w:color="auto" w:fill="FFFFFF"/>
          </w:tcPr>
          <w:p w14:paraId="6200872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b/>
                <w:bCs/>
                <w:color w:val="000000"/>
                <w:sz w:val="18"/>
                <w:szCs w:val="18"/>
                <w:highlight w:val="none"/>
                <w:lang w:val="en-US"/>
              </w:rPr>
              <w:t>Summary Item Statistics</w:t>
            </w:r>
          </w:p>
        </w:tc>
      </w:tr>
      <w:tr w14:paraId="434A6A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633" w:hRule="atLeast"/>
          <w:jc w:val="center"/>
        </w:trPr>
        <w:tc>
          <w:tcPr>
            <w:tcW w:w="1727" w:type="dxa"/>
            <w:tcBorders>
              <w:top w:val="single" w:color="000000" w:sz="18" w:space="0"/>
              <w:left w:val="single" w:color="000000" w:sz="18" w:space="0"/>
              <w:bottom w:val="single" w:color="000000" w:sz="18" w:space="0"/>
              <w:right w:val="single" w:color="000000" w:sz="18" w:space="0"/>
            </w:tcBorders>
            <w:shd w:val="clear" w:color="auto" w:fill="FFFFFF"/>
          </w:tcPr>
          <w:p w14:paraId="4711F1B1">
            <w:pPr>
              <w:autoSpaceDE w:val="0"/>
              <w:autoSpaceDN w:val="0"/>
              <w:adjustRightInd w:val="0"/>
              <w:spacing w:after="0" w:line="240" w:lineRule="auto"/>
              <w:jc w:val="left"/>
              <w:rPr>
                <w:rFonts w:cs="Times New Roman"/>
                <w:szCs w:val="24"/>
                <w:highlight w:val="none"/>
                <w:lang w:val="en-US"/>
              </w:rPr>
            </w:pPr>
          </w:p>
        </w:tc>
        <w:tc>
          <w:tcPr>
            <w:tcW w:w="802" w:type="dxa"/>
            <w:tcBorders>
              <w:top w:val="single" w:color="000000" w:sz="18" w:space="0"/>
              <w:left w:val="single" w:color="000000" w:sz="18" w:space="0"/>
              <w:bottom w:val="single" w:color="000000" w:sz="18" w:space="0"/>
              <w:right w:val="single" w:color="000000" w:sz="8" w:space="0"/>
            </w:tcBorders>
            <w:shd w:val="clear" w:color="auto" w:fill="FFFFFF"/>
          </w:tcPr>
          <w:p w14:paraId="07D10F0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Mean</w:t>
            </w:r>
          </w:p>
        </w:tc>
        <w:tc>
          <w:tcPr>
            <w:tcW w:w="838" w:type="dxa"/>
            <w:tcBorders>
              <w:top w:val="single" w:color="000000" w:sz="18" w:space="0"/>
              <w:left w:val="single" w:color="000000" w:sz="8" w:space="0"/>
              <w:bottom w:val="single" w:color="000000" w:sz="18" w:space="0"/>
              <w:right w:val="single" w:color="000000" w:sz="8" w:space="0"/>
            </w:tcBorders>
            <w:shd w:val="clear" w:color="auto" w:fill="FFFFFF"/>
          </w:tcPr>
          <w:p w14:paraId="65E4843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Minimum</w:t>
            </w:r>
          </w:p>
        </w:tc>
        <w:tc>
          <w:tcPr>
            <w:tcW w:w="862" w:type="dxa"/>
            <w:tcBorders>
              <w:top w:val="single" w:color="000000" w:sz="18" w:space="0"/>
              <w:left w:val="single" w:color="000000" w:sz="8" w:space="0"/>
              <w:bottom w:val="single" w:color="000000" w:sz="18" w:space="0"/>
              <w:right w:val="single" w:color="000000" w:sz="8" w:space="0"/>
            </w:tcBorders>
            <w:shd w:val="clear" w:color="auto" w:fill="FFFFFF"/>
          </w:tcPr>
          <w:p w14:paraId="6467248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Maximum</w:t>
            </w:r>
          </w:p>
        </w:tc>
        <w:tc>
          <w:tcPr>
            <w:tcW w:w="801" w:type="dxa"/>
            <w:tcBorders>
              <w:top w:val="single" w:color="000000" w:sz="18" w:space="0"/>
              <w:left w:val="single" w:color="000000" w:sz="8" w:space="0"/>
              <w:bottom w:val="single" w:color="000000" w:sz="18" w:space="0"/>
              <w:right w:val="single" w:color="000000" w:sz="8" w:space="0"/>
            </w:tcBorders>
            <w:shd w:val="clear" w:color="auto" w:fill="FFFFFF"/>
          </w:tcPr>
          <w:p w14:paraId="40D9018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Range</w:t>
            </w:r>
          </w:p>
        </w:tc>
        <w:tc>
          <w:tcPr>
            <w:tcW w:w="1167" w:type="dxa"/>
            <w:tcBorders>
              <w:top w:val="single" w:color="000000" w:sz="18" w:space="0"/>
              <w:left w:val="single" w:color="000000" w:sz="8" w:space="0"/>
              <w:bottom w:val="single" w:color="000000" w:sz="18" w:space="0"/>
              <w:right w:val="single" w:color="000000" w:sz="8" w:space="0"/>
            </w:tcBorders>
            <w:shd w:val="clear" w:color="auto" w:fill="FFFFFF"/>
          </w:tcPr>
          <w:p w14:paraId="4B4D76B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Maximum / Minimum</w:t>
            </w:r>
          </w:p>
        </w:tc>
        <w:tc>
          <w:tcPr>
            <w:tcW w:w="801" w:type="dxa"/>
            <w:tcBorders>
              <w:top w:val="single" w:color="000000" w:sz="18" w:space="0"/>
              <w:left w:val="single" w:color="000000" w:sz="8" w:space="0"/>
              <w:bottom w:val="single" w:color="000000" w:sz="18" w:space="0"/>
              <w:right w:val="single" w:color="000000" w:sz="8" w:space="0"/>
            </w:tcBorders>
            <w:shd w:val="clear" w:color="auto" w:fill="FFFFFF"/>
          </w:tcPr>
          <w:p w14:paraId="561B674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Variance</w:t>
            </w:r>
          </w:p>
        </w:tc>
        <w:tc>
          <w:tcPr>
            <w:tcW w:w="899" w:type="dxa"/>
            <w:tcBorders>
              <w:top w:val="single" w:color="000000" w:sz="18" w:space="0"/>
              <w:left w:val="single" w:color="000000" w:sz="8" w:space="0"/>
              <w:bottom w:val="single" w:color="000000" w:sz="18" w:space="0"/>
              <w:right w:val="single" w:color="000000" w:sz="18" w:space="0"/>
            </w:tcBorders>
            <w:shd w:val="clear" w:color="auto" w:fill="FFFFFF"/>
          </w:tcPr>
          <w:p w14:paraId="4E9B126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N of Items</w:t>
            </w:r>
          </w:p>
        </w:tc>
      </w:tr>
      <w:tr w14:paraId="6B4E3B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09" w:hRule="atLeast"/>
          <w:jc w:val="center"/>
        </w:trPr>
        <w:tc>
          <w:tcPr>
            <w:tcW w:w="1727" w:type="dxa"/>
            <w:tcBorders>
              <w:top w:val="single" w:color="000000" w:sz="18" w:space="0"/>
              <w:left w:val="single" w:color="000000" w:sz="18" w:space="0"/>
              <w:bottom w:val="nil"/>
              <w:right w:val="single" w:color="000000" w:sz="18" w:space="0"/>
            </w:tcBorders>
            <w:shd w:val="clear" w:color="auto" w:fill="FFFFFF"/>
            <w:vAlign w:val="center"/>
          </w:tcPr>
          <w:p w14:paraId="2626C91F">
            <w:pPr>
              <w:autoSpaceDE w:val="0"/>
              <w:autoSpaceDN w:val="0"/>
              <w:adjustRightInd w:val="0"/>
              <w:spacing w:after="0" w:line="320" w:lineRule="atLeast"/>
              <w:ind w:left="60" w:right="60"/>
              <w:jc w:val="left"/>
              <w:rPr>
                <w:rFonts w:ascii="Arial" w:hAnsi="Arial" w:cs="Arial"/>
                <w:color w:val="000000"/>
                <w:sz w:val="18"/>
                <w:szCs w:val="18"/>
                <w:highlight w:val="none"/>
                <w:lang w:val="en-US"/>
              </w:rPr>
            </w:pPr>
            <w:r>
              <w:rPr>
                <w:rFonts w:ascii="Arial" w:hAnsi="Arial" w:cs="Arial"/>
                <w:color w:val="000000"/>
                <w:sz w:val="18"/>
                <w:szCs w:val="18"/>
                <w:highlight w:val="none"/>
                <w:lang w:val="en-US"/>
              </w:rPr>
              <w:t>Inter-Item Covariances</w:t>
            </w:r>
          </w:p>
        </w:tc>
        <w:tc>
          <w:tcPr>
            <w:tcW w:w="802" w:type="dxa"/>
            <w:tcBorders>
              <w:top w:val="single" w:color="000000" w:sz="18" w:space="0"/>
              <w:left w:val="single" w:color="000000" w:sz="18" w:space="0"/>
              <w:bottom w:val="nil"/>
              <w:right w:val="single" w:color="000000" w:sz="8" w:space="0"/>
            </w:tcBorders>
            <w:shd w:val="clear" w:color="auto" w:fill="FFFFFF"/>
          </w:tcPr>
          <w:p w14:paraId="0961D162">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2.126</w:t>
            </w:r>
          </w:p>
        </w:tc>
        <w:tc>
          <w:tcPr>
            <w:tcW w:w="838" w:type="dxa"/>
            <w:tcBorders>
              <w:top w:val="single" w:color="000000" w:sz="18" w:space="0"/>
              <w:left w:val="single" w:color="000000" w:sz="8" w:space="0"/>
              <w:bottom w:val="nil"/>
              <w:right w:val="single" w:color="000000" w:sz="8" w:space="0"/>
            </w:tcBorders>
            <w:shd w:val="clear" w:color="auto" w:fill="FFFFFF"/>
          </w:tcPr>
          <w:p w14:paraId="72E85AF0">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-.652</w:t>
            </w:r>
          </w:p>
        </w:tc>
        <w:tc>
          <w:tcPr>
            <w:tcW w:w="862" w:type="dxa"/>
            <w:tcBorders>
              <w:top w:val="single" w:color="000000" w:sz="18" w:space="0"/>
              <w:left w:val="single" w:color="000000" w:sz="8" w:space="0"/>
              <w:bottom w:val="nil"/>
              <w:right w:val="single" w:color="000000" w:sz="8" w:space="0"/>
            </w:tcBorders>
            <w:shd w:val="clear" w:color="auto" w:fill="FFFFFF"/>
          </w:tcPr>
          <w:p w14:paraId="2CC22567">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3.446</w:t>
            </w:r>
          </w:p>
        </w:tc>
        <w:tc>
          <w:tcPr>
            <w:tcW w:w="801" w:type="dxa"/>
            <w:tcBorders>
              <w:top w:val="single" w:color="000000" w:sz="18" w:space="0"/>
              <w:left w:val="single" w:color="000000" w:sz="8" w:space="0"/>
              <w:bottom w:val="nil"/>
              <w:right w:val="single" w:color="000000" w:sz="8" w:space="0"/>
            </w:tcBorders>
            <w:shd w:val="clear" w:color="auto" w:fill="FFFFFF"/>
          </w:tcPr>
          <w:p w14:paraId="66CD56A8">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4.098</w:t>
            </w:r>
          </w:p>
        </w:tc>
        <w:tc>
          <w:tcPr>
            <w:tcW w:w="1167" w:type="dxa"/>
            <w:tcBorders>
              <w:top w:val="single" w:color="000000" w:sz="18" w:space="0"/>
              <w:left w:val="single" w:color="000000" w:sz="8" w:space="0"/>
              <w:bottom w:val="nil"/>
              <w:right w:val="single" w:color="000000" w:sz="8" w:space="0"/>
            </w:tcBorders>
            <w:shd w:val="clear" w:color="auto" w:fill="FFFFFF"/>
          </w:tcPr>
          <w:p w14:paraId="0814CB2C">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-5.283</w:t>
            </w:r>
          </w:p>
        </w:tc>
        <w:tc>
          <w:tcPr>
            <w:tcW w:w="801" w:type="dxa"/>
            <w:tcBorders>
              <w:top w:val="single" w:color="000000" w:sz="18" w:space="0"/>
              <w:left w:val="single" w:color="000000" w:sz="8" w:space="0"/>
              <w:bottom w:val="nil"/>
              <w:right w:val="single" w:color="000000" w:sz="8" w:space="0"/>
            </w:tcBorders>
            <w:shd w:val="clear" w:color="auto" w:fill="FFFFFF"/>
          </w:tcPr>
          <w:p w14:paraId="2EAE6BA1">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.327</w:t>
            </w:r>
          </w:p>
        </w:tc>
        <w:tc>
          <w:tcPr>
            <w:tcW w:w="899" w:type="dxa"/>
            <w:tcBorders>
              <w:top w:val="single" w:color="000000" w:sz="18" w:space="0"/>
              <w:left w:val="single" w:color="000000" w:sz="8" w:space="0"/>
              <w:bottom w:val="nil"/>
              <w:right w:val="single" w:color="000000" w:sz="18" w:space="0"/>
            </w:tcBorders>
            <w:shd w:val="clear" w:color="auto" w:fill="FFFFFF"/>
          </w:tcPr>
          <w:p w14:paraId="7811BA79">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16</w:t>
            </w:r>
          </w:p>
        </w:tc>
      </w:tr>
      <w:tr w14:paraId="40CC2F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09" w:hRule="atLeast"/>
          <w:jc w:val="center"/>
        </w:trPr>
        <w:tc>
          <w:tcPr>
            <w:tcW w:w="1727" w:type="dxa"/>
            <w:tcBorders>
              <w:top w:val="nil"/>
              <w:left w:val="single" w:color="000000" w:sz="18" w:space="0"/>
              <w:bottom w:val="single" w:color="000000" w:sz="18" w:space="0"/>
              <w:right w:val="single" w:color="000000" w:sz="18" w:space="0"/>
            </w:tcBorders>
            <w:shd w:val="clear" w:color="auto" w:fill="FFFFFF"/>
            <w:vAlign w:val="center"/>
          </w:tcPr>
          <w:p w14:paraId="391365B3">
            <w:pPr>
              <w:autoSpaceDE w:val="0"/>
              <w:autoSpaceDN w:val="0"/>
              <w:adjustRightInd w:val="0"/>
              <w:spacing w:after="0" w:line="320" w:lineRule="atLeast"/>
              <w:ind w:left="60" w:right="60"/>
              <w:jc w:val="left"/>
              <w:rPr>
                <w:rFonts w:ascii="Arial" w:hAnsi="Arial" w:cs="Arial"/>
                <w:color w:val="000000"/>
                <w:sz w:val="18"/>
                <w:szCs w:val="18"/>
                <w:highlight w:val="none"/>
                <w:lang w:val="en-US"/>
              </w:rPr>
            </w:pPr>
            <w:r>
              <w:rPr>
                <w:rFonts w:ascii="Arial" w:hAnsi="Arial" w:cs="Arial"/>
                <w:color w:val="000000"/>
                <w:sz w:val="18"/>
                <w:szCs w:val="18"/>
                <w:highlight w:val="none"/>
                <w:lang w:val="en-US"/>
              </w:rPr>
              <w:t>Inter-Item Correlations</w:t>
            </w:r>
          </w:p>
        </w:tc>
        <w:tc>
          <w:tcPr>
            <w:tcW w:w="802" w:type="dxa"/>
            <w:tcBorders>
              <w:top w:val="nil"/>
              <w:left w:val="single" w:color="000000" w:sz="18" w:space="0"/>
              <w:bottom w:val="single" w:color="000000" w:sz="18" w:space="0"/>
              <w:right w:val="single" w:color="000000" w:sz="8" w:space="0"/>
            </w:tcBorders>
            <w:shd w:val="clear" w:color="auto" w:fill="FFFFFF"/>
          </w:tcPr>
          <w:p w14:paraId="772654F2">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.852</w:t>
            </w:r>
          </w:p>
        </w:tc>
        <w:tc>
          <w:tcPr>
            <w:tcW w:w="838" w:type="dxa"/>
            <w:tcBorders>
              <w:top w:val="nil"/>
              <w:left w:val="single" w:color="000000" w:sz="8" w:space="0"/>
              <w:bottom w:val="single" w:color="000000" w:sz="18" w:space="0"/>
              <w:right w:val="single" w:color="000000" w:sz="8" w:space="0"/>
            </w:tcBorders>
            <w:shd w:val="clear" w:color="auto" w:fill="FFFFFF"/>
          </w:tcPr>
          <w:p w14:paraId="39DC297D">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-.005</w:t>
            </w:r>
          </w:p>
        </w:tc>
        <w:tc>
          <w:tcPr>
            <w:tcW w:w="862" w:type="dxa"/>
            <w:tcBorders>
              <w:top w:val="nil"/>
              <w:left w:val="single" w:color="000000" w:sz="8" w:space="0"/>
              <w:bottom w:val="single" w:color="000000" w:sz="18" w:space="0"/>
              <w:right w:val="single" w:color="000000" w:sz="8" w:space="0"/>
            </w:tcBorders>
            <w:shd w:val="clear" w:color="auto" w:fill="FFFFFF"/>
          </w:tcPr>
          <w:p w14:paraId="2905A04B">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1.000</w:t>
            </w:r>
          </w:p>
        </w:tc>
        <w:tc>
          <w:tcPr>
            <w:tcW w:w="801" w:type="dxa"/>
            <w:tcBorders>
              <w:top w:val="nil"/>
              <w:left w:val="single" w:color="000000" w:sz="8" w:space="0"/>
              <w:bottom w:val="single" w:color="000000" w:sz="18" w:space="0"/>
              <w:right w:val="single" w:color="000000" w:sz="8" w:space="0"/>
            </w:tcBorders>
            <w:shd w:val="clear" w:color="auto" w:fill="FFFFFF"/>
          </w:tcPr>
          <w:p w14:paraId="6560AA7C">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1.005</w:t>
            </w:r>
          </w:p>
        </w:tc>
        <w:tc>
          <w:tcPr>
            <w:tcW w:w="1167" w:type="dxa"/>
            <w:tcBorders>
              <w:top w:val="nil"/>
              <w:left w:val="single" w:color="000000" w:sz="8" w:space="0"/>
              <w:bottom w:val="single" w:color="000000" w:sz="18" w:space="0"/>
              <w:right w:val="single" w:color="000000" w:sz="8" w:space="0"/>
            </w:tcBorders>
            <w:shd w:val="clear" w:color="auto" w:fill="FFFFFF"/>
          </w:tcPr>
          <w:p w14:paraId="655DE5BD">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-221.932</w:t>
            </w:r>
          </w:p>
        </w:tc>
        <w:tc>
          <w:tcPr>
            <w:tcW w:w="801" w:type="dxa"/>
            <w:tcBorders>
              <w:top w:val="nil"/>
              <w:left w:val="single" w:color="000000" w:sz="8" w:space="0"/>
              <w:bottom w:val="single" w:color="000000" w:sz="18" w:space="0"/>
              <w:right w:val="single" w:color="000000" w:sz="8" w:space="0"/>
            </w:tcBorders>
            <w:shd w:val="clear" w:color="auto" w:fill="FFFFFF"/>
          </w:tcPr>
          <w:p w14:paraId="5AA13783">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.101</w:t>
            </w:r>
          </w:p>
        </w:tc>
        <w:tc>
          <w:tcPr>
            <w:tcW w:w="899" w:type="dxa"/>
            <w:tcBorders>
              <w:top w:val="nil"/>
              <w:left w:val="single" w:color="000000" w:sz="8" w:space="0"/>
              <w:bottom w:val="single" w:color="000000" w:sz="18" w:space="0"/>
              <w:right w:val="single" w:color="000000" w:sz="18" w:space="0"/>
            </w:tcBorders>
            <w:shd w:val="clear" w:color="auto" w:fill="FFFFFF"/>
          </w:tcPr>
          <w:p w14:paraId="5135B60E">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16</w:t>
            </w:r>
          </w:p>
        </w:tc>
      </w:tr>
    </w:tbl>
    <w:p w14:paraId="7B0165ED">
      <w:pPr>
        <w:autoSpaceDE w:val="0"/>
        <w:autoSpaceDN w:val="0"/>
        <w:adjustRightInd w:val="0"/>
        <w:spacing w:after="0" w:line="400" w:lineRule="atLeast"/>
        <w:jc w:val="left"/>
        <w:rPr>
          <w:rFonts w:cs="Times New Roman"/>
          <w:szCs w:val="24"/>
          <w:highlight w:val="none"/>
          <w:lang w:val="en-US"/>
        </w:rPr>
      </w:pPr>
    </w:p>
    <w:p w14:paraId="65845C31">
      <w:pPr>
        <w:autoSpaceDE w:val="0"/>
        <w:autoSpaceDN w:val="0"/>
        <w:adjustRightInd w:val="0"/>
        <w:spacing w:after="0" w:line="240" w:lineRule="auto"/>
        <w:jc w:val="left"/>
        <w:rPr>
          <w:rFonts w:cs="Times New Roman"/>
          <w:szCs w:val="24"/>
          <w:highlight w:val="none"/>
          <w:lang w:val="en-US"/>
        </w:rPr>
      </w:pPr>
    </w:p>
    <w:tbl>
      <w:tblPr>
        <w:tblStyle w:val="12"/>
        <w:tblW w:w="826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97"/>
        <w:gridCol w:w="1380"/>
        <w:gridCol w:w="1324"/>
        <w:gridCol w:w="910"/>
        <w:gridCol w:w="1256"/>
        <w:gridCol w:w="1186"/>
        <w:gridCol w:w="912"/>
      </w:tblGrid>
      <w:tr w14:paraId="71F5FC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30" w:hRule="atLeast"/>
          <w:jc w:val="center"/>
        </w:trPr>
        <w:tc>
          <w:tcPr>
            <w:tcW w:w="8264" w:type="dxa"/>
            <w:gridSpan w:val="7"/>
            <w:tcBorders>
              <w:top w:val="nil"/>
              <w:left w:val="nil"/>
              <w:bottom w:val="nil"/>
              <w:right w:val="nil"/>
            </w:tcBorders>
            <w:shd w:val="clear" w:color="auto" w:fill="FFFFFF"/>
          </w:tcPr>
          <w:p w14:paraId="720FDA7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b/>
                <w:bCs/>
                <w:color w:val="000000"/>
                <w:sz w:val="18"/>
                <w:szCs w:val="18"/>
                <w:highlight w:val="none"/>
                <w:lang w:val="en-US"/>
              </w:rPr>
              <w:t>ANOVA with Cochran's Test</w:t>
            </w:r>
          </w:p>
        </w:tc>
      </w:tr>
      <w:tr w14:paraId="3F7AD3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30" w:hRule="atLeast"/>
          <w:jc w:val="center"/>
        </w:trPr>
        <w:tc>
          <w:tcPr>
            <w:tcW w:w="2676" w:type="dxa"/>
            <w:gridSpan w:val="2"/>
            <w:tcBorders>
              <w:top w:val="single" w:color="000000" w:sz="18" w:space="0"/>
              <w:left w:val="single" w:color="000000" w:sz="18" w:space="0"/>
              <w:bottom w:val="single" w:color="000000" w:sz="18" w:space="0"/>
              <w:right w:val="nil"/>
            </w:tcBorders>
            <w:shd w:val="clear" w:color="auto" w:fill="FFFFFF"/>
          </w:tcPr>
          <w:p w14:paraId="75A52A60">
            <w:pPr>
              <w:autoSpaceDE w:val="0"/>
              <w:autoSpaceDN w:val="0"/>
              <w:adjustRightInd w:val="0"/>
              <w:spacing w:after="0" w:line="240" w:lineRule="auto"/>
              <w:jc w:val="left"/>
              <w:rPr>
                <w:rFonts w:cs="Times New Roman"/>
                <w:szCs w:val="24"/>
                <w:highlight w:val="none"/>
                <w:lang w:val="en-US"/>
              </w:rPr>
            </w:pPr>
          </w:p>
        </w:tc>
        <w:tc>
          <w:tcPr>
            <w:tcW w:w="1324" w:type="dxa"/>
            <w:tcBorders>
              <w:top w:val="single" w:color="000000" w:sz="18" w:space="0"/>
              <w:left w:val="single" w:color="000000" w:sz="18" w:space="0"/>
              <w:bottom w:val="single" w:color="000000" w:sz="18" w:space="0"/>
              <w:right w:val="single" w:color="000000" w:sz="8" w:space="0"/>
            </w:tcBorders>
            <w:shd w:val="clear" w:color="auto" w:fill="FFFFFF"/>
          </w:tcPr>
          <w:p w14:paraId="3D56FCE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Sum of Squares</w:t>
            </w:r>
          </w:p>
        </w:tc>
        <w:tc>
          <w:tcPr>
            <w:tcW w:w="910" w:type="dxa"/>
            <w:tcBorders>
              <w:top w:val="single" w:color="000000" w:sz="18" w:space="0"/>
              <w:left w:val="single" w:color="000000" w:sz="8" w:space="0"/>
              <w:bottom w:val="single" w:color="000000" w:sz="18" w:space="0"/>
              <w:right w:val="single" w:color="000000" w:sz="8" w:space="0"/>
            </w:tcBorders>
            <w:shd w:val="clear" w:color="auto" w:fill="FFFFFF"/>
          </w:tcPr>
          <w:p w14:paraId="7061715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df</w:t>
            </w:r>
          </w:p>
        </w:tc>
        <w:tc>
          <w:tcPr>
            <w:tcW w:w="1256" w:type="dxa"/>
            <w:tcBorders>
              <w:top w:val="single" w:color="000000" w:sz="18" w:space="0"/>
              <w:left w:val="single" w:color="000000" w:sz="8" w:space="0"/>
              <w:bottom w:val="single" w:color="000000" w:sz="18" w:space="0"/>
              <w:right w:val="single" w:color="000000" w:sz="8" w:space="0"/>
            </w:tcBorders>
            <w:shd w:val="clear" w:color="auto" w:fill="FFFFFF"/>
          </w:tcPr>
          <w:p w14:paraId="3C123B3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Mean Square</w:t>
            </w:r>
          </w:p>
        </w:tc>
        <w:tc>
          <w:tcPr>
            <w:tcW w:w="1186" w:type="dxa"/>
            <w:tcBorders>
              <w:top w:val="single" w:color="000000" w:sz="18" w:space="0"/>
              <w:left w:val="single" w:color="000000" w:sz="8" w:space="0"/>
              <w:bottom w:val="single" w:color="000000" w:sz="18" w:space="0"/>
              <w:right w:val="single" w:color="000000" w:sz="8" w:space="0"/>
            </w:tcBorders>
            <w:shd w:val="clear" w:color="auto" w:fill="FFFFFF"/>
          </w:tcPr>
          <w:p w14:paraId="675FA16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Cochran's Q</w:t>
            </w:r>
          </w:p>
        </w:tc>
        <w:tc>
          <w:tcPr>
            <w:tcW w:w="910" w:type="dxa"/>
            <w:tcBorders>
              <w:top w:val="single" w:color="000000" w:sz="18" w:space="0"/>
              <w:left w:val="single" w:color="000000" w:sz="8" w:space="0"/>
              <w:bottom w:val="single" w:color="000000" w:sz="18" w:space="0"/>
              <w:right w:val="single" w:color="000000" w:sz="18" w:space="0"/>
            </w:tcBorders>
            <w:shd w:val="clear" w:color="auto" w:fill="FFFFFF"/>
          </w:tcPr>
          <w:p w14:paraId="74EF298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Sig</w:t>
            </w:r>
          </w:p>
        </w:tc>
      </w:tr>
      <w:tr w14:paraId="56D4FB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30" w:hRule="atLeast"/>
          <w:jc w:val="center"/>
        </w:trPr>
        <w:tc>
          <w:tcPr>
            <w:tcW w:w="2676" w:type="dxa"/>
            <w:gridSpan w:val="2"/>
            <w:tcBorders>
              <w:top w:val="single" w:color="000000" w:sz="18" w:space="0"/>
              <w:left w:val="single" w:color="000000" w:sz="18" w:space="0"/>
              <w:bottom w:val="nil"/>
              <w:right w:val="nil"/>
            </w:tcBorders>
            <w:shd w:val="clear" w:color="auto" w:fill="FFFFFF"/>
            <w:vAlign w:val="center"/>
          </w:tcPr>
          <w:p w14:paraId="56B17544">
            <w:pPr>
              <w:autoSpaceDE w:val="0"/>
              <w:autoSpaceDN w:val="0"/>
              <w:adjustRightInd w:val="0"/>
              <w:spacing w:after="0" w:line="320" w:lineRule="atLeast"/>
              <w:ind w:left="60" w:right="60"/>
              <w:jc w:val="left"/>
              <w:rPr>
                <w:rFonts w:ascii="Arial" w:hAnsi="Arial" w:cs="Arial"/>
                <w:color w:val="000000"/>
                <w:sz w:val="18"/>
                <w:szCs w:val="18"/>
                <w:highlight w:val="none"/>
                <w:lang w:val="en-US"/>
              </w:rPr>
            </w:pPr>
            <w:r>
              <w:rPr>
                <w:rFonts w:ascii="Arial" w:hAnsi="Arial" w:cs="Arial"/>
                <w:color w:val="000000"/>
                <w:sz w:val="18"/>
                <w:szCs w:val="18"/>
                <w:highlight w:val="none"/>
                <w:lang w:val="en-US"/>
              </w:rPr>
              <w:t>Between People</w:t>
            </w:r>
          </w:p>
        </w:tc>
        <w:tc>
          <w:tcPr>
            <w:tcW w:w="1324" w:type="dxa"/>
            <w:tcBorders>
              <w:top w:val="single" w:color="000000" w:sz="18" w:space="0"/>
              <w:left w:val="single" w:color="000000" w:sz="18" w:space="0"/>
              <w:bottom w:val="nil"/>
              <w:right w:val="single" w:color="000000" w:sz="8" w:space="0"/>
            </w:tcBorders>
            <w:shd w:val="clear" w:color="auto" w:fill="FFFFFF"/>
          </w:tcPr>
          <w:p w14:paraId="3BE2BC44">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122579.664</w:t>
            </w:r>
          </w:p>
        </w:tc>
        <w:tc>
          <w:tcPr>
            <w:tcW w:w="910" w:type="dxa"/>
            <w:tcBorders>
              <w:top w:val="single" w:color="000000" w:sz="18" w:space="0"/>
              <w:left w:val="single" w:color="000000" w:sz="8" w:space="0"/>
              <w:bottom w:val="nil"/>
              <w:right w:val="single" w:color="000000" w:sz="8" w:space="0"/>
            </w:tcBorders>
            <w:shd w:val="clear" w:color="auto" w:fill="FFFFFF"/>
          </w:tcPr>
          <w:p w14:paraId="2AF44F1B">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281</w:t>
            </w:r>
          </w:p>
        </w:tc>
        <w:tc>
          <w:tcPr>
            <w:tcW w:w="1256" w:type="dxa"/>
            <w:tcBorders>
              <w:top w:val="single" w:color="000000" w:sz="18" w:space="0"/>
              <w:left w:val="single" w:color="000000" w:sz="8" w:space="0"/>
              <w:bottom w:val="nil"/>
              <w:right w:val="single" w:color="000000" w:sz="8" w:space="0"/>
            </w:tcBorders>
            <w:shd w:val="clear" w:color="auto" w:fill="FFFFFF"/>
          </w:tcPr>
          <w:p w14:paraId="55AA7F96">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436.227</w:t>
            </w:r>
          </w:p>
        </w:tc>
        <w:tc>
          <w:tcPr>
            <w:tcW w:w="1186" w:type="dxa"/>
            <w:tcBorders>
              <w:top w:val="single" w:color="000000" w:sz="18" w:space="0"/>
              <w:left w:val="single" w:color="000000" w:sz="8" w:space="0"/>
              <w:bottom w:val="nil"/>
              <w:right w:val="single" w:color="000000" w:sz="8" w:space="0"/>
            </w:tcBorders>
            <w:shd w:val="clear" w:color="auto" w:fill="FFFFFF"/>
          </w:tcPr>
          <w:p w14:paraId="618BE0E9">
            <w:pPr>
              <w:autoSpaceDE w:val="0"/>
              <w:autoSpaceDN w:val="0"/>
              <w:adjustRightInd w:val="0"/>
              <w:spacing w:after="0" w:line="240" w:lineRule="auto"/>
              <w:jc w:val="left"/>
              <w:rPr>
                <w:rFonts w:cs="Times New Roman"/>
                <w:szCs w:val="24"/>
                <w:highlight w:val="none"/>
                <w:lang w:val="en-US"/>
              </w:rPr>
            </w:pPr>
          </w:p>
        </w:tc>
        <w:tc>
          <w:tcPr>
            <w:tcW w:w="910" w:type="dxa"/>
            <w:tcBorders>
              <w:top w:val="single" w:color="000000" w:sz="18" w:space="0"/>
              <w:left w:val="single" w:color="000000" w:sz="8" w:space="0"/>
              <w:bottom w:val="nil"/>
              <w:right w:val="single" w:color="000000" w:sz="18" w:space="0"/>
            </w:tcBorders>
            <w:shd w:val="clear" w:color="auto" w:fill="FFFFFF"/>
          </w:tcPr>
          <w:p w14:paraId="172EAD38">
            <w:pPr>
              <w:autoSpaceDE w:val="0"/>
              <w:autoSpaceDN w:val="0"/>
              <w:adjustRightInd w:val="0"/>
              <w:spacing w:after="0" w:line="240" w:lineRule="auto"/>
              <w:jc w:val="left"/>
              <w:rPr>
                <w:rFonts w:cs="Times New Roman"/>
                <w:szCs w:val="24"/>
                <w:highlight w:val="none"/>
                <w:lang w:val="en-US"/>
              </w:rPr>
            </w:pPr>
          </w:p>
        </w:tc>
      </w:tr>
      <w:tr w14:paraId="5AF026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45" w:hRule="atLeast"/>
          <w:jc w:val="center"/>
        </w:trPr>
        <w:tc>
          <w:tcPr>
            <w:tcW w:w="1296" w:type="dxa"/>
            <w:vMerge w:val="restart"/>
            <w:tcBorders>
              <w:top w:val="nil"/>
              <w:left w:val="single" w:color="000000" w:sz="18" w:space="0"/>
              <w:bottom w:val="nil"/>
              <w:right w:val="nil"/>
            </w:tcBorders>
            <w:shd w:val="clear" w:color="auto" w:fill="FFFFFF"/>
            <w:vAlign w:val="center"/>
          </w:tcPr>
          <w:p w14:paraId="751B25B5">
            <w:pPr>
              <w:autoSpaceDE w:val="0"/>
              <w:autoSpaceDN w:val="0"/>
              <w:adjustRightInd w:val="0"/>
              <w:spacing w:after="0" w:line="320" w:lineRule="atLeast"/>
              <w:ind w:left="60" w:right="60"/>
              <w:jc w:val="left"/>
              <w:rPr>
                <w:rFonts w:ascii="Arial" w:hAnsi="Arial" w:cs="Arial"/>
                <w:color w:val="000000"/>
                <w:sz w:val="18"/>
                <w:szCs w:val="18"/>
                <w:highlight w:val="none"/>
                <w:lang w:val="en-US"/>
              </w:rPr>
            </w:pPr>
            <w:r>
              <w:rPr>
                <w:rFonts w:ascii="Arial" w:hAnsi="Arial" w:cs="Arial"/>
                <w:color w:val="000000"/>
                <w:sz w:val="18"/>
                <w:szCs w:val="18"/>
                <w:highlight w:val="none"/>
                <w:lang w:val="en-US"/>
              </w:rPr>
              <w:t>Within People</w:t>
            </w:r>
          </w:p>
        </w:tc>
        <w:tc>
          <w:tcPr>
            <w:tcW w:w="1380" w:type="dxa"/>
            <w:tcBorders>
              <w:top w:val="nil"/>
              <w:left w:val="nil"/>
              <w:bottom w:val="nil"/>
              <w:right w:val="single" w:color="000000" w:sz="18" w:space="0"/>
            </w:tcBorders>
            <w:shd w:val="clear" w:color="auto" w:fill="FFFFFF"/>
            <w:vAlign w:val="center"/>
          </w:tcPr>
          <w:p w14:paraId="34805E89">
            <w:pPr>
              <w:autoSpaceDE w:val="0"/>
              <w:autoSpaceDN w:val="0"/>
              <w:adjustRightInd w:val="0"/>
              <w:spacing w:after="0" w:line="320" w:lineRule="atLeast"/>
              <w:ind w:left="60" w:right="60"/>
              <w:jc w:val="left"/>
              <w:rPr>
                <w:rFonts w:ascii="Arial" w:hAnsi="Arial" w:cs="Arial"/>
                <w:color w:val="000000"/>
                <w:sz w:val="18"/>
                <w:szCs w:val="18"/>
                <w:highlight w:val="none"/>
                <w:lang w:val="en-US"/>
              </w:rPr>
            </w:pPr>
            <w:r>
              <w:rPr>
                <w:rFonts w:ascii="Arial" w:hAnsi="Arial" w:cs="Arial"/>
                <w:color w:val="000000"/>
                <w:sz w:val="18"/>
                <w:szCs w:val="18"/>
                <w:highlight w:val="none"/>
                <w:lang w:val="en-US"/>
              </w:rPr>
              <w:t>Between Items</w:t>
            </w:r>
          </w:p>
        </w:tc>
        <w:tc>
          <w:tcPr>
            <w:tcW w:w="1324" w:type="dxa"/>
            <w:tcBorders>
              <w:top w:val="nil"/>
              <w:left w:val="single" w:color="000000" w:sz="18" w:space="0"/>
              <w:bottom w:val="nil"/>
              <w:right w:val="single" w:color="000000" w:sz="8" w:space="0"/>
            </w:tcBorders>
            <w:shd w:val="clear" w:color="auto" w:fill="FFFFFF"/>
          </w:tcPr>
          <w:p w14:paraId="2E90EA73">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5063184.971</w:t>
            </w:r>
          </w:p>
        </w:tc>
        <w:tc>
          <w:tcPr>
            <w:tcW w:w="910" w:type="dxa"/>
            <w:tcBorders>
              <w:top w:val="nil"/>
              <w:left w:val="single" w:color="000000" w:sz="8" w:space="0"/>
              <w:bottom w:val="nil"/>
              <w:right w:val="single" w:color="000000" w:sz="8" w:space="0"/>
            </w:tcBorders>
            <w:shd w:val="clear" w:color="auto" w:fill="FFFFFF"/>
          </w:tcPr>
          <w:p w14:paraId="400C6553">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15</w:t>
            </w:r>
          </w:p>
        </w:tc>
        <w:tc>
          <w:tcPr>
            <w:tcW w:w="1256" w:type="dxa"/>
            <w:tcBorders>
              <w:top w:val="nil"/>
              <w:left w:val="single" w:color="000000" w:sz="8" w:space="0"/>
              <w:bottom w:val="nil"/>
              <w:right w:val="single" w:color="000000" w:sz="8" w:space="0"/>
            </w:tcBorders>
            <w:shd w:val="clear" w:color="auto" w:fill="FFFFFF"/>
          </w:tcPr>
          <w:p w14:paraId="63D50629">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337545.665</w:t>
            </w:r>
          </w:p>
        </w:tc>
        <w:tc>
          <w:tcPr>
            <w:tcW w:w="1186" w:type="dxa"/>
            <w:tcBorders>
              <w:top w:val="nil"/>
              <w:left w:val="single" w:color="000000" w:sz="8" w:space="0"/>
              <w:bottom w:val="nil"/>
              <w:right w:val="single" w:color="000000" w:sz="8" w:space="0"/>
            </w:tcBorders>
            <w:shd w:val="clear" w:color="auto" w:fill="FFFFFF"/>
          </w:tcPr>
          <w:p w14:paraId="0833957B">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3168.942</w:t>
            </w:r>
          </w:p>
        </w:tc>
        <w:tc>
          <w:tcPr>
            <w:tcW w:w="910" w:type="dxa"/>
            <w:tcBorders>
              <w:top w:val="nil"/>
              <w:left w:val="single" w:color="000000" w:sz="8" w:space="0"/>
              <w:bottom w:val="nil"/>
              <w:right w:val="single" w:color="000000" w:sz="18" w:space="0"/>
            </w:tcBorders>
            <w:shd w:val="clear" w:color="auto" w:fill="FFFFFF"/>
          </w:tcPr>
          <w:p w14:paraId="343E271D">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r>
      <w:tr w14:paraId="1BC465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30" w:hRule="atLeast"/>
          <w:jc w:val="center"/>
        </w:trPr>
        <w:tc>
          <w:tcPr>
            <w:tcW w:w="8264" w:type="dxa"/>
            <w:vMerge w:val="continue"/>
            <w:tcBorders>
              <w:top w:val="nil"/>
              <w:left w:val="single" w:color="000000" w:sz="18" w:space="0"/>
              <w:bottom w:val="nil"/>
              <w:right w:val="nil"/>
            </w:tcBorders>
            <w:vAlign w:val="center"/>
          </w:tcPr>
          <w:p w14:paraId="43044A24">
            <w:pPr>
              <w:spacing w:after="0" w:line="256" w:lineRule="auto"/>
              <w:jc w:val="left"/>
              <w:rPr>
                <w:rFonts w:ascii="Arial" w:hAnsi="Arial" w:cs="Arial"/>
                <w:color w:val="000000"/>
                <w:sz w:val="18"/>
                <w:szCs w:val="18"/>
                <w:highlight w:val="none"/>
                <w:lang w:val="en-US"/>
              </w:rPr>
            </w:pPr>
          </w:p>
        </w:tc>
        <w:tc>
          <w:tcPr>
            <w:tcW w:w="1380" w:type="dxa"/>
            <w:tcBorders>
              <w:top w:val="nil"/>
              <w:left w:val="nil"/>
              <w:bottom w:val="nil"/>
              <w:right w:val="single" w:color="000000" w:sz="18" w:space="0"/>
            </w:tcBorders>
            <w:shd w:val="clear" w:color="auto" w:fill="FFFFFF"/>
            <w:vAlign w:val="center"/>
          </w:tcPr>
          <w:p w14:paraId="7424F6DF">
            <w:pPr>
              <w:autoSpaceDE w:val="0"/>
              <w:autoSpaceDN w:val="0"/>
              <w:adjustRightInd w:val="0"/>
              <w:spacing w:after="0" w:line="320" w:lineRule="atLeast"/>
              <w:ind w:left="60" w:right="60"/>
              <w:jc w:val="left"/>
              <w:rPr>
                <w:rFonts w:ascii="Arial" w:hAnsi="Arial" w:cs="Arial"/>
                <w:color w:val="000000"/>
                <w:sz w:val="18"/>
                <w:szCs w:val="18"/>
                <w:highlight w:val="none"/>
                <w:lang w:val="en-US"/>
              </w:rPr>
            </w:pPr>
            <w:r>
              <w:rPr>
                <w:rFonts w:ascii="Arial" w:hAnsi="Arial" w:cs="Arial"/>
                <w:color w:val="000000"/>
                <w:sz w:val="18"/>
                <w:szCs w:val="18"/>
                <w:highlight w:val="none"/>
                <w:lang w:val="en-US"/>
              </w:rPr>
              <w:t>Residual</w:t>
            </w:r>
          </w:p>
        </w:tc>
        <w:tc>
          <w:tcPr>
            <w:tcW w:w="1324" w:type="dxa"/>
            <w:tcBorders>
              <w:top w:val="nil"/>
              <w:left w:val="single" w:color="000000" w:sz="18" w:space="0"/>
              <w:bottom w:val="nil"/>
              <w:right w:val="single" w:color="000000" w:sz="8" w:space="0"/>
            </w:tcBorders>
            <w:shd w:val="clear" w:color="auto" w:fill="FFFFFF"/>
          </w:tcPr>
          <w:p w14:paraId="2008F320">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1695307.279</w:t>
            </w:r>
          </w:p>
        </w:tc>
        <w:tc>
          <w:tcPr>
            <w:tcW w:w="910" w:type="dxa"/>
            <w:tcBorders>
              <w:top w:val="nil"/>
              <w:left w:val="single" w:color="000000" w:sz="8" w:space="0"/>
              <w:bottom w:val="nil"/>
              <w:right w:val="single" w:color="000000" w:sz="8" w:space="0"/>
            </w:tcBorders>
            <w:shd w:val="clear" w:color="auto" w:fill="FFFFFF"/>
          </w:tcPr>
          <w:p w14:paraId="70AB5D28">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4215</w:t>
            </w:r>
          </w:p>
        </w:tc>
        <w:tc>
          <w:tcPr>
            <w:tcW w:w="1256" w:type="dxa"/>
            <w:tcBorders>
              <w:top w:val="nil"/>
              <w:left w:val="single" w:color="000000" w:sz="8" w:space="0"/>
              <w:bottom w:val="nil"/>
              <w:right w:val="single" w:color="000000" w:sz="8" w:space="0"/>
            </w:tcBorders>
            <w:shd w:val="clear" w:color="auto" w:fill="FFFFFF"/>
          </w:tcPr>
          <w:p w14:paraId="0D9D14C4">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402.208</w:t>
            </w:r>
          </w:p>
        </w:tc>
        <w:tc>
          <w:tcPr>
            <w:tcW w:w="1186" w:type="dxa"/>
            <w:tcBorders>
              <w:top w:val="nil"/>
              <w:left w:val="single" w:color="000000" w:sz="8" w:space="0"/>
              <w:bottom w:val="nil"/>
              <w:right w:val="single" w:color="000000" w:sz="8" w:space="0"/>
            </w:tcBorders>
            <w:shd w:val="clear" w:color="auto" w:fill="FFFFFF"/>
          </w:tcPr>
          <w:p w14:paraId="0CA10972">
            <w:pPr>
              <w:autoSpaceDE w:val="0"/>
              <w:autoSpaceDN w:val="0"/>
              <w:adjustRightInd w:val="0"/>
              <w:spacing w:after="0" w:line="240" w:lineRule="auto"/>
              <w:jc w:val="left"/>
              <w:rPr>
                <w:rFonts w:cs="Times New Roman"/>
                <w:szCs w:val="24"/>
                <w:highlight w:val="none"/>
                <w:lang w:val="en-US"/>
              </w:rPr>
            </w:pPr>
          </w:p>
        </w:tc>
        <w:tc>
          <w:tcPr>
            <w:tcW w:w="910" w:type="dxa"/>
            <w:tcBorders>
              <w:top w:val="nil"/>
              <w:left w:val="single" w:color="000000" w:sz="8" w:space="0"/>
              <w:bottom w:val="nil"/>
              <w:right w:val="single" w:color="000000" w:sz="18" w:space="0"/>
            </w:tcBorders>
            <w:shd w:val="clear" w:color="auto" w:fill="FFFFFF"/>
          </w:tcPr>
          <w:p w14:paraId="69F3C411">
            <w:pPr>
              <w:autoSpaceDE w:val="0"/>
              <w:autoSpaceDN w:val="0"/>
              <w:adjustRightInd w:val="0"/>
              <w:spacing w:after="0" w:line="240" w:lineRule="auto"/>
              <w:jc w:val="left"/>
              <w:rPr>
                <w:rFonts w:cs="Times New Roman"/>
                <w:szCs w:val="24"/>
                <w:highlight w:val="none"/>
                <w:lang w:val="en-US"/>
              </w:rPr>
            </w:pPr>
          </w:p>
        </w:tc>
      </w:tr>
      <w:tr w14:paraId="2E89E9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30" w:hRule="atLeast"/>
          <w:jc w:val="center"/>
        </w:trPr>
        <w:tc>
          <w:tcPr>
            <w:tcW w:w="8264" w:type="dxa"/>
            <w:vMerge w:val="continue"/>
            <w:tcBorders>
              <w:top w:val="nil"/>
              <w:left w:val="single" w:color="000000" w:sz="18" w:space="0"/>
              <w:bottom w:val="nil"/>
              <w:right w:val="nil"/>
            </w:tcBorders>
            <w:vAlign w:val="center"/>
          </w:tcPr>
          <w:p w14:paraId="358A973A">
            <w:pPr>
              <w:spacing w:after="0" w:line="256" w:lineRule="auto"/>
              <w:jc w:val="left"/>
              <w:rPr>
                <w:rFonts w:ascii="Arial" w:hAnsi="Arial" w:cs="Arial"/>
                <w:color w:val="000000"/>
                <w:sz w:val="18"/>
                <w:szCs w:val="18"/>
                <w:highlight w:val="none"/>
                <w:lang w:val="en-US"/>
              </w:rPr>
            </w:pPr>
          </w:p>
        </w:tc>
        <w:tc>
          <w:tcPr>
            <w:tcW w:w="1380" w:type="dxa"/>
            <w:tcBorders>
              <w:top w:val="nil"/>
              <w:left w:val="nil"/>
              <w:bottom w:val="nil"/>
              <w:right w:val="single" w:color="000000" w:sz="18" w:space="0"/>
            </w:tcBorders>
            <w:shd w:val="clear" w:color="auto" w:fill="FFFFFF"/>
            <w:vAlign w:val="center"/>
          </w:tcPr>
          <w:p w14:paraId="793366F3">
            <w:pPr>
              <w:autoSpaceDE w:val="0"/>
              <w:autoSpaceDN w:val="0"/>
              <w:adjustRightInd w:val="0"/>
              <w:spacing w:after="0" w:line="320" w:lineRule="atLeast"/>
              <w:ind w:left="60" w:right="60"/>
              <w:jc w:val="left"/>
              <w:rPr>
                <w:rFonts w:ascii="Arial" w:hAnsi="Arial" w:cs="Arial"/>
                <w:color w:val="000000"/>
                <w:sz w:val="18"/>
                <w:szCs w:val="18"/>
                <w:highlight w:val="none"/>
                <w:lang w:val="en-US"/>
              </w:rPr>
            </w:pPr>
            <w:r>
              <w:rPr>
                <w:rFonts w:ascii="Arial" w:hAnsi="Arial" w:cs="Arial"/>
                <w:color w:val="000000"/>
                <w:sz w:val="18"/>
                <w:szCs w:val="18"/>
                <w:highlight w:val="none"/>
                <w:lang w:val="en-US"/>
              </w:rPr>
              <w:t>Total</w:t>
            </w:r>
          </w:p>
        </w:tc>
        <w:tc>
          <w:tcPr>
            <w:tcW w:w="1324" w:type="dxa"/>
            <w:tcBorders>
              <w:top w:val="nil"/>
              <w:left w:val="single" w:color="000000" w:sz="18" w:space="0"/>
              <w:bottom w:val="nil"/>
              <w:right w:val="single" w:color="000000" w:sz="8" w:space="0"/>
            </w:tcBorders>
            <w:shd w:val="clear" w:color="auto" w:fill="FFFFFF"/>
          </w:tcPr>
          <w:p w14:paraId="5AB86615">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6758492.250</w:t>
            </w:r>
          </w:p>
        </w:tc>
        <w:tc>
          <w:tcPr>
            <w:tcW w:w="910" w:type="dxa"/>
            <w:tcBorders>
              <w:top w:val="nil"/>
              <w:left w:val="single" w:color="000000" w:sz="8" w:space="0"/>
              <w:bottom w:val="nil"/>
              <w:right w:val="single" w:color="000000" w:sz="8" w:space="0"/>
            </w:tcBorders>
            <w:shd w:val="clear" w:color="auto" w:fill="FFFFFF"/>
          </w:tcPr>
          <w:p w14:paraId="4986839B">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4230</w:t>
            </w:r>
          </w:p>
        </w:tc>
        <w:tc>
          <w:tcPr>
            <w:tcW w:w="1256" w:type="dxa"/>
            <w:tcBorders>
              <w:top w:val="nil"/>
              <w:left w:val="single" w:color="000000" w:sz="8" w:space="0"/>
              <w:bottom w:val="nil"/>
              <w:right w:val="single" w:color="000000" w:sz="8" w:space="0"/>
            </w:tcBorders>
            <w:shd w:val="clear" w:color="auto" w:fill="FFFFFF"/>
          </w:tcPr>
          <w:p w14:paraId="681FA7B7">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1597.752</w:t>
            </w:r>
          </w:p>
        </w:tc>
        <w:tc>
          <w:tcPr>
            <w:tcW w:w="1186" w:type="dxa"/>
            <w:tcBorders>
              <w:top w:val="nil"/>
              <w:left w:val="single" w:color="000000" w:sz="8" w:space="0"/>
              <w:bottom w:val="nil"/>
              <w:right w:val="single" w:color="000000" w:sz="8" w:space="0"/>
            </w:tcBorders>
            <w:shd w:val="clear" w:color="auto" w:fill="FFFFFF"/>
          </w:tcPr>
          <w:p w14:paraId="4D225292">
            <w:pPr>
              <w:autoSpaceDE w:val="0"/>
              <w:autoSpaceDN w:val="0"/>
              <w:adjustRightInd w:val="0"/>
              <w:spacing w:after="0" w:line="240" w:lineRule="auto"/>
              <w:jc w:val="left"/>
              <w:rPr>
                <w:rFonts w:cs="Times New Roman"/>
                <w:szCs w:val="24"/>
                <w:highlight w:val="none"/>
                <w:lang w:val="en-US"/>
              </w:rPr>
            </w:pPr>
          </w:p>
        </w:tc>
        <w:tc>
          <w:tcPr>
            <w:tcW w:w="910" w:type="dxa"/>
            <w:tcBorders>
              <w:top w:val="nil"/>
              <w:left w:val="single" w:color="000000" w:sz="8" w:space="0"/>
              <w:bottom w:val="nil"/>
              <w:right w:val="single" w:color="000000" w:sz="18" w:space="0"/>
            </w:tcBorders>
            <w:shd w:val="clear" w:color="auto" w:fill="FFFFFF"/>
          </w:tcPr>
          <w:p w14:paraId="30B7C6CC">
            <w:pPr>
              <w:autoSpaceDE w:val="0"/>
              <w:autoSpaceDN w:val="0"/>
              <w:adjustRightInd w:val="0"/>
              <w:spacing w:after="0" w:line="240" w:lineRule="auto"/>
              <w:jc w:val="left"/>
              <w:rPr>
                <w:rFonts w:cs="Times New Roman"/>
                <w:szCs w:val="24"/>
                <w:highlight w:val="none"/>
                <w:lang w:val="en-US"/>
              </w:rPr>
            </w:pPr>
          </w:p>
        </w:tc>
      </w:tr>
      <w:tr w14:paraId="057669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45" w:hRule="atLeast"/>
          <w:jc w:val="center"/>
        </w:trPr>
        <w:tc>
          <w:tcPr>
            <w:tcW w:w="2676" w:type="dxa"/>
            <w:gridSpan w:val="2"/>
            <w:tcBorders>
              <w:top w:val="nil"/>
              <w:left w:val="single" w:color="000000" w:sz="18" w:space="0"/>
              <w:bottom w:val="single" w:color="000000" w:sz="18" w:space="0"/>
              <w:right w:val="nil"/>
            </w:tcBorders>
            <w:shd w:val="clear" w:color="auto" w:fill="FFFFFF"/>
            <w:vAlign w:val="center"/>
          </w:tcPr>
          <w:p w14:paraId="37B6ED48">
            <w:pPr>
              <w:autoSpaceDE w:val="0"/>
              <w:autoSpaceDN w:val="0"/>
              <w:adjustRightInd w:val="0"/>
              <w:spacing w:after="0" w:line="320" w:lineRule="atLeast"/>
              <w:ind w:left="60" w:right="60"/>
              <w:jc w:val="left"/>
              <w:rPr>
                <w:rFonts w:ascii="Arial" w:hAnsi="Arial" w:cs="Arial"/>
                <w:color w:val="000000"/>
                <w:sz w:val="18"/>
                <w:szCs w:val="18"/>
                <w:highlight w:val="none"/>
                <w:lang w:val="en-US"/>
              </w:rPr>
            </w:pPr>
            <w:r>
              <w:rPr>
                <w:rFonts w:ascii="Arial" w:hAnsi="Arial" w:cs="Arial"/>
                <w:color w:val="000000"/>
                <w:sz w:val="18"/>
                <w:szCs w:val="18"/>
                <w:highlight w:val="none"/>
                <w:lang w:val="en-US"/>
              </w:rPr>
              <w:t>Total</w:t>
            </w:r>
          </w:p>
        </w:tc>
        <w:tc>
          <w:tcPr>
            <w:tcW w:w="1324" w:type="dxa"/>
            <w:tcBorders>
              <w:top w:val="nil"/>
              <w:left w:val="single" w:color="000000" w:sz="18" w:space="0"/>
              <w:bottom w:val="single" w:color="000000" w:sz="18" w:space="0"/>
              <w:right w:val="single" w:color="000000" w:sz="8" w:space="0"/>
            </w:tcBorders>
            <w:shd w:val="clear" w:color="auto" w:fill="FFFFFF"/>
          </w:tcPr>
          <w:p w14:paraId="7869026C">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6881071.914</w:t>
            </w:r>
          </w:p>
        </w:tc>
        <w:tc>
          <w:tcPr>
            <w:tcW w:w="910" w:type="dxa"/>
            <w:tcBorders>
              <w:top w:val="nil"/>
              <w:left w:val="single" w:color="000000" w:sz="8" w:space="0"/>
              <w:bottom w:val="single" w:color="000000" w:sz="18" w:space="0"/>
              <w:right w:val="single" w:color="000000" w:sz="8" w:space="0"/>
            </w:tcBorders>
            <w:shd w:val="clear" w:color="auto" w:fill="FFFFFF"/>
          </w:tcPr>
          <w:p w14:paraId="62D6472A">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4511</w:t>
            </w:r>
          </w:p>
        </w:tc>
        <w:tc>
          <w:tcPr>
            <w:tcW w:w="1256" w:type="dxa"/>
            <w:tcBorders>
              <w:top w:val="nil"/>
              <w:left w:val="single" w:color="000000" w:sz="8" w:space="0"/>
              <w:bottom w:val="single" w:color="000000" w:sz="18" w:space="0"/>
              <w:right w:val="single" w:color="000000" w:sz="8" w:space="0"/>
            </w:tcBorders>
            <w:shd w:val="clear" w:color="auto" w:fill="FFFFFF"/>
          </w:tcPr>
          <w:p w14:paraId="02341983">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1525.398</w:t>
            </w:r>
          </w:p>
        </w:tc>
        <w:tc>
          <w:tcPr>
            <w:tcW w:w="1186" w:type="dxa"/>
            <w:tcBorders>
              <w:top w:val="nil"/>
              <w:left w:val="single" w:color="000000" w:sz="8" w:space="0"/>
              <w:bottom w:val="single" w:color="000000" w:sz="18" w:space="0"/>
              <w:right w:val="single" w:color="000000" w:sz="8" w:space="0"/>
            </w:tcBorders>
            <w:shd w:val="clear" w:color="auto" w:fill="FFFFFF"/>
          </w:tcPr>
          <w:p w14:paraId="71AD8C2D">
            <w:pPr>
              <w:autoSpaceDE w:val="0"/>
              <w:autoSpaceDN w:val="0"/>
              <w:adjustRightInd w:val="0"/>
              <w:spacing w:after="0" w:line="240" w:lineRule="auto"/>
              <w:jc w:val="left"/>
              <w:rPr>
                <w:rFonts w:cs="Times New Roman"/>
                <w:szCs w:val="24"/>
                <w:highlight w:val="none"/>
                <w:lang w:val="en-US"/>
              </w:rPr>
            </w:pPr>
          </w:p>
        </w:tc>
        <w:tc>
          <w:tcPr>
            <w:tcW w:w="910" w:type="dxa"/>
            <w:tcBorders>
              <w:top w:val="nil"/>
              <w:left w:val="single" w:color="000000" w:sz="8" w:space="0"/>
              <w:bottom w:val="single" w:color="000000" w:sz="18" w:space="0"/>
              <w:right w:val="single" w:color="000000" w:sz="18" w:space="0"/>
            </w:tcBorders>
            <w:shd w:val="clear" w:color="auto" w:fill="FFFFFF"/>
          </w:tcPr>
          <w:p w14:paraId="2B07B985">
            <w:pPr>
              <w:autoSpaceDE w:val="0"/>
              <w:autoSpaceDN w:val="0"/>
              <w:adjustRightInd w:val="0"/>
              <w:spacing w:after="0" w:line="240" w:lineRule="auto"/>
              <w:jc w:val="left"/>
              <w:rPr>
                <w:rFonts w:cs="Times New Roman"/>
                <w:szCs w:val="24"/>
                <w:highlight w:val="none"/>
                <w:lang w:val="en-US"/>
              </w:rPr>
            </w:pPr>
          </w:p>
        </w:tc>
      </w:tr>
      <w:tr w14:paraId="6BD065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30" w:hRule="atLeast"/>
          <w:jc w:val="center"/>
        </w:trPr>
        <w:tc>
          <w:tcPr>
            <w:tcW w:w="8264" w:type="dxa"/>
            <w:gridSpan w:val="7"/>
            <w:tcBorders>
              <w:top w:val="nil"/>
              <w:left w:val="nil"/>
              <w:bottom w:val="nil"/>
              <w:right w:val="nil"/>
            </w:tcBorders>
            <w:shd w:val="clear" w:color="auto" w:fill="FFFFFF"/>
            <w:vAlign w:val="center"/>
          </w:tcPr>
          <w:p w14:paraId="6FFB6F12">
            <w:pPr>
              <w:autoSpaceDE w:val="0"/>
              <w:autoSpaceDN w:val="0"/>
              <w:adjustRightInd w:val="0"/>
              <w:spacing w:after="0" w:line="320" w:lineRule="atLeast"/>
              <w:ind w:left="60" w:right="60"/>
              <w:jc w:val="left"/>
              <w:rPr>
                <w:rFonts w:ascii="Arial" w:hAnsi="Arial" w:cs="Arial"/>
                <w:color w:val="000000"/>
                <w:sz w:val="18"/>
                <w:szCs w:val="18"/>
                <w:highlight w:val="none"/>
                <w:lang w:val="en-US"/>
              </w:rPr>
            </w:pPr>
            <w:r>
              <w:rPr>
                <w:rFonts w:ascii="Arial" w:hAnsi="Arial" w:cs="Arial"/>
                <w:color w:val="000000"/>
                <w:sz w:val="18"/>
                <w:szCs w:val="18"/>
                <w:highlight w:val="none"/>
                <w:lang w:val="en-US"/>
              </w:rPr>
              <w:t>Grand Mean = 11.78</w:t>
            </w:r>
          </w:p>
        </w:tc>
      </w:tr>
    </w:tbl>
    <w:p w14:paraId="1B76FB30">
      <w:pPr>
        <w:autoSpaceDE w:val="0"/>
        <w:autoSpaceDN w:val="0"/>
        <w:adjustRightInd w:val="0"/>
        <w:spacing w:after="0" w:line="400" w:lineRule="atLeast"/>
        <w:jc w:val="left"/>
        <w:rPr>
          <w:rFonts w:cs="Times New Roman"/>
          <w:szCs w:val="24"/>
          <w:highlight w:val="none"/>
          <w:lang w:val="en-US"/>
        </w:rPr>
      </w:pPr>
      <w:r>
        <w:rPr>
          <w:rFonts w:cs="Times New Roman"/>
          <w:szCs w:val="24"/>
          <w:highlight w:val="none"/>
          <w:lang w:val="en-US"/>
        </w:rPr>
        <w:t xml:space="preserve">The analysis of the Cochran test is a non-parametric test for considering the randomised whole design where the respondent variable has binary values. However, if the p-value is less than 0.5, the results would be statistically significant, whereas if the p-value is higher than 0.5, it becomes insignificant. The result shows that the data is statistically significant because the p-value is less than 0.5. </w:t>
      </w:r>
    </w:p>
    <w:p w14:paraId="11BD111F">
      <w:pPr>
        <w:autoSpaceDE w:val="0"/>
        <w:autoSpaceDN w:val="0"/>
        <w:adjustRightInd w:val="0"/>
        <w:spacing w:after="0" w:line="400" w:lineRule="atLeast"/>
        <w:jc w:val="left"/>
        <w:rPr>
          <w:rFonts w:cs="Times New Roman"/>
          <w:szCs w:val="24"/>
          <w:highlight w:val="none"/>
          <w:lang w:val="en-US"/>
        </w:rPr>
      </w:pPr>
    </w:p>
    <w:p w14:paraId="21B81B17">
      <w:pPr>
        <w:pStyle w:val="3"/>
        <w:numPr>
          <w:ilvl w:val="1"/>
          <w:numId w:val="4"/>
        </w:numPr>
        <w:rPr>
          <w:highlight w:val="none"/>
          <w:lang w:val="en-US"/>
        </w:rPr>
      </w:pPr>
      <w:r>
        <w:rPr>
          <w:highlight w:val="none"/>
          <w:lang w:val="en-US"/>
        </w:rPr>
        <w:t xml:space="preserve">Analysis of the respondent </w:t>
      </w:r>
    </w:p>
    <w:p w14:paraId="45E04EB3">
      <w:pPr>
        <w:autoSpaceDE w:val="0"/>
        <w:autoSpaceDN w:val="0"/>
        <w:adjustRightInd w:val="0"/>
        <w:spacing w:after="0" w:line="400" w:lineRule="atLeast"/>
        <w:rPr>
          <w:rFonts w:cs="Times New Roman"/>
          <w:szCs w:val="24"/>
          <w:highlight w:val="none"/>
          <w:lang w:val="en-US"/>
        </w:rPr>
      </w:pPr>
      <w:r>
        <w:rPr>
          <w:rFonts w:cs="Times New Roman"/>
          <w:szCs w:val="24"/>
          <w:highlight w:val="none"/>
          <w:lang w:val="en-US"/>
        </w:rPr>
        <w:t xml:space="preserve">This study has been considered with the 5 Likert scale used in this research for collecting the respondent data and conducting on SPSS for the appropriate results. However, the 5 Likert scale has been considered with 1 showing strongly disagree, 2 shows disagree, 3 showing neutral, 4 being considered to agree, and 5 showing strongly agree. The questionnaire has not been considered with a neutral number. Either it was agreeing or disagreeing, or either it was strongly agreeing or strongly disagreeing. However, there were taking 15 questions in response to the questionnaire, which will also show in Appendix 1. </w:t>
      </w:r>
    </w:p>
    <w:p w14:paraId="7C24BF76">
      <w:pPr>
        <w:pStyle w:val="3"/>
        <w:numPr>
          <w:ilvl w:val="1"/>
          <w:numId w:val="4"/>
        </w:numPr>
        <w:rPr>
          <w:highlight w:val="none"/>
          <w:lang w:val="en-US"/>
        </w:rPr>
      </w:pPr>
      <w:r>
        <w:rPr>
          <w:highlight w:val="none"/>
          <w:lang w:val="en-US"/>
        </w:rPr>
        <w:t xml:space="preserve">Frequency Test </w:t>
      </w:r>
    </w:p>
    <w:p w14:paraId="0A38FD08">
      <w:pPr>
        <w:autoSpaceDE w:val="0"/>
        <w:autoSpaceDN w:val="0"/>
        <w:adjustRightInd w:val="0"/>
        <w:spacing w:after="0" w:line="400" w:lineRule="atLeast"/>
        <w:jc w:val="left"/>
        <w:rPr>
          <w:rFonts w:cs="Times New Roman"/>
          <w:szCs w:val="24"/>
          <w:highlight w:val="none"/>
          <w:lang w:val="en-US"/>
        </w:rPr>
      </w:pPr>
      <w:r>
        <w:rPr>
          <w:rFonts w:cs="Times New Roman"/>
          <w:szCs w:val="24"/>
          <w:highlight w:val="none"/>
          <w:lang w:val="en-US"/>
        </w:rPr>
        <w:t>The first test has been taken as the frequency statistics, which shows the number of validities, mean, median and mode and the overall deviation for the respondents (See Appendix 2).</w:t>
      </w:r>
    </w:p>
    <w:p w14:paraId="736E496F">
      <w:pPr>
        <w:pStyle w:val="3"/>
        <w:numPr>
          <w:ilvl w:val="1"/>
          <w:numId w:val="4"/>
        </w:numPr>
        <w:rPr>
          <w:highlight w:val="none"/>
          <w:lang w:val="en-US"/>
        </w:rPr>
      </w:pPr>
      <w:r>
        <w:rPr>
          <w:highlight w:val="none"/>
          <w:lang w:val="en-US"/>
        </w:rPr>
        <w:t>Frequency Table</w:t>
      </w:r>
    </w:p>
    <w:p w14:paraId="1A0E070A">
      <w:pPr>
        <w:adjustRightInd w:val="0"/>
        <w:rPr>
          <w:rFonts w:cs="Times New Roman"/>
          <w:szCs w:val="24"/>
          <w:highlight w:val="none"/>
          <w:lang w:val="en-US"/>
        </w:rPr>
      </w:pPr>
      <w:r>
        <w:rPr>
          <w:rFonts w:cs="Times New Roman"/>
          <w:szCs w:val="24"/>
          <w:highlight w:val="none"/>
          <w:lang w:val="en-US"/>
        </w:rPr>
        <w:t xml:space="preserve">To take the response to question 1: most of the respondent has been agreed with asking, "Lack of skilled workers in the organisation is a major challenge to effective QMS". the higher respondent, such as 155 response has, been intellectual in favour of Q1, and the 53% of the induvial are agreed. </w:t>
      </w:r>
    </w:p>
    <w:p w14:paraId="7D15DBA7">
      <w:pPr>
        <w:autoSpaceDE w:val="0"/>
        <w:autoSpaceDN w:val="0"/>
        <w:adjustRightInd w:val="0"/>
        <w:spacing w:after="0" w:line="240" w:lineRule="auto"/>
        <w:jc w:val="left"/>
        <w:rPr>
          <w:rFonts w:cs="Times New Roman"/>
          <w:szCs w:val="24"/>
          <w:highlight w:val="none"/>
          <w:lang w:val="en-US"/>
        </w:rPr>
      </w:pPr>
    </w:p>
    <w:tbl>
      <w:tblPr>
        <w:tblStyle w:val="12"/>
        <w:tblW w:w="766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32"/>
        <w:gridCol w:w="1744"/>
        <w:gridCol w:w="1148"/>
        <w:gridCol w:w="995"/>
        <w:gridCol w:w="1377"/>
        <w:gridCol w:w="1469"/>
      </w:tblGrid>
      <w:tr w14:paraId="2065BD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661" w:type="dxa"/>
            <w:gridSpan w:val="6"/>
            <w:tcBorders>
              <w:top w:val="nil"/>
              <w:left w:val="nil"/>
              <w:bottom w:val="nil"/>
              <w:right w:val="nil"/>
            </w:tcBorders>
            <w:shd w:val="clear" w:color="auto" w:fill="FFFFFF"/>
          </w:tcPr>
          <w:p w14:paraId="429CF44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b/>
                <w:bCs/>
                <w:color w:val="000000"/>
                <w:sz w:val="18"/>
                <w:szCs w:val="18"/>
                <w:highlight w:val="none"/>
                <w:lang w:val="en-US"/>
              </w:rPr>
              <w:t>Q1.</w:t>
            </w:r>
          </w:p>
        </w:tc>
      </w:tr>
      <w:tr w14:paraId="3CA0A7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676" w:type="dxa"/>
            <w:gridSpan w:val="2"/>
            <w:tcBorders>
              <w:top w:val="single" w:color="000000" w:sz="18" w:space="0"/>
              <w:left w:val="single" w:color="000000" w:sz="18" w:space="0"/>
              <w:bottom w:val="single" w:color="000000" w:sz="18" w:space="0"/>
              <w:right w:val="nil"/>
            </w:tcBorders>
            <w:shd w:val="clear" w:color="auto" w:fill="FFFFFF"/>
          </w:tcPr>
          <w:p w14:paraId="4A8FC4B5">
            <w:pPr>
              <w:autoSpaceDE w:val="0"/>
              <w:autoSpaceDN w:val="0"/>
              <w:adjustRightInd w:val="0"/>
              <w:spacing w:after="0" w:line="240" w:lineRule="auto"/>
              <w:jc w:val="left"/>
              <w:rPr>
                <w:rFonts w:cs="Times New Roman"/>
                <w:szCs w:val="24"/>
                <w:highlight w:val="none"/>
                <w:lang w:val="en-US"/>
              </w:rPr>
            </w:pPr>
          </w:p>
        </w:tc>
        <w:tc>
          <w:tcPr>
            <w:tcW w:w="1147" w:type="dxa"/>
            <w:tcBorders>
              <w:top w:val="single" w:color="000000" w:sz="18" w:space="0"/>
              <w:left w:val="single" w:color="000000" w:sz="18" w:space="0"/>
              <w:bottom w:val="single" w:color="000000" w:sz="18" w:space="0"/>
              <w:right w:val="single" w:color="000000" w:sz="8" w:space="0"/>
            </w:tcBorders>
            <w:shd w:val="clear" w:color="auto" w:fill="FFFFFF"/>
          </w:tcPr>
          <w:p w14:paraId="62DB665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Frequency</w:t>
            </w:r>
          </w:p>
        </w:tc>
        <w:tc>
          <w:tcPr>
            <w:tcW w:w="994" w:type="dxa"/>
            <w:tcBorders>
              <w:top w:val="single" w:color="000000" w:sz="18" w:space="0"/>
              <w:left w:val="single" w:color="000000" w:sz="8" w:space="0"/>
              <w:bottom w:val="single" w:color="000000" w:sz="18" w:space="0"/>
              <w:right w:val="single" w:color="000000" w:sz="8" w:space="0"/>
            </w:tcBorders>
            <w:shd w:val="clear" w:color="auto" w:fill="FFFFFF"/>
          </w:tcPr>
          <w:p w14:paraId="7395BFD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Per cent</w:t>
            </w:r>
          </w:p>
        </w:tc>
        <w:tc>
          <w:tcPr>
            <w:tcW w:w="1376" w:type="dxa"/>
            <w:tcBorders>
              <w:top w:val="single" w:color="000000" w:sz="18" w:space="0"/>
              <w:left w:val="single" w:color="000000" w:sz="8" w:space="0"/>
              <w:bottom w:val="single" w:color="000000" w:sz="18" w:space="0"/>
              <w:right w:val="single" w:color="000000" w:sz="8" w:space="0"/>
            </w:tcBorders>
            <w:shd w:val="clear" w:color="auto" w:fill="FFFFFF"/>
          </w:tcPr>
          <w:p w14:paraId="1B433D8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Valid Percent</w:t>
            </w:r>
          </w:p>
        </w:tc>
        <w:tc>
          <w:tcPr>
            <w:tcW w:w="1468" w:type="dxa"/>
            <w:tcBorders>
              <w:top w:val="single" w:color="000000" w:sz="18" w:space="0"/>
              <w:left w:val="single" w:color="000000" w:sz="8" w:space="0"/>
              <w:bottom w:val="single" w:color="000000" w:sz="18" w:space="0"/>
              <w:right w:val="single" w:color="000000" w:sz="18" w:space="0"/>
            </w:tcBorders>
            <w:shd w:val="clear" w:color="auto" w:fill="FFFFFF"/>
          </w:tcPr>
          <w:p w14:paraId="781D1E5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Cumulative Percent</w:t>
            </w:r>
          </w:p>
        </w:tc>
      </w:tr>
      <w:tr w14:paraId="44B4A0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933" w:type="dxa"/>
            <w:vMerge w:val="restart"/>
            <w:tcBorders>
              <w:top w:val="single" w:color="000000" w:sz="18" w:space="0"/>
              <w:left w:val="single" w:color="000000" w:sz="18" w:space="0"/>
              <w:bottom w:val="nil"/>
              <w:right w:val="nil"/>
            </w:tcBorders>
            <w:shd w:val="clear" w:color="auto" w:fill="FFFFFF"/>
            <w:vAlign w:val="center"/>
          </w:tcPr>
          <w:p w14:paraId="72D4908C">
            <w:pPr>
              <w:autoSpaceDE w:val="0"/>
              <w:autoSpaceDN w:val="0"/>
              <w:adjustRightInd w:val="0"/>
              <w:spacing w:after="0" w:line="320" w:lineRule="atLeast"/>
              <w:ind w:left="60" w:right="60"/>
              <w:jc w:val="left"/>
              <w:rPr>
                <w:rFonts w:ascii="Arial" w:hAnsi="Arial" w:cs="Arial"/>
                <w:color w:val="000000"/>
                <w:sz w:val="18"/>
                <w:szCs w:val="18"/>
                <w:highlight w:val="none"/>
                <w:lang w:val="en-US"/>
              </w:rPr>
            </w:pPr>
            <w:r>
              <w:rPr>
                <w:rFonts w:ascii="Arial" w:hAnsi="Arial" w:cs="Arial"/>
                <w:color w:val="000000"/>
                <w:sz w:val="18"/>
                <w:szCs w:val="18"/>
                <w:highlight w:val="none"/>
                <w:lang w:val="en-US"/>
              </w:rPr>
              <w:t>Valid</w:t>
            </w:r>
          </w:p>
        </w:tc>
        <w:tc>
          <w:tcPr>
            <w:tcW w:w="1743" w:type="dxa"/>
            <w:tcBorders>
              <w:top w:val="single" w:color="000000" w:sz="18" w:space="0"/>
              <w:left w:val="nil"/>
              <w:bottom w:val="nil"/>
              <w:right w:val="single" w:color="000000" w:sz="18" w:space="0"/>
            </w:tcBorders>
            <w:shd w:val="clear" w:color="auto" w:fill="FFFFFF"/>
            <w:vAlign w:val="center"/>
          </w:tcPr>
          <w:p w14:paraId="0CAD50E8">
            <w:pPr>
              <w:autoSpaceDE w:val="0"/>
              <w:autoSpaceDN w:val="0"/>
              <w:adjustRightInd w:val="0"/>
              <w:spacing w:after="0" w:line="320" w:lineRule="atLeast"/>
              <w:ind w:left="60" w:right="60"/>
              <w:jc w:val="left"/>
              <w:rPr>
                <w:rFonts w:ascii="Arial" w:hAnsi="Arial" w:cs="Arial"/>
                <w:color w:val="000000"/>
                <w:sz w:val="18"/>
                <w:szCs w:val="18"/>
                <w:highlight w:val="none"/>
                <w:lang w:val="en-US"/>
              </w:rPr>
            </w:pPr>
            <w:r>
              <w:rPr>
                <w:rFonts w:ascii="Arial" w:hAnsi="Arial" w:cs="Arial"/>
                <w:color w:val="000000"/>
                <w:sz w:val="18"/>
                <w:szCs w:val="18"/>
                <w:highlight w:val="none"/>
                <w:lang w:val="en-US"/>
              </w:rPr>
              <w:t>Strongly disagree</w:t>
            </w:r>
          </w:p>
        </w:tc>
        <w:tc>
          <w:tcPr>
            <w:tcW w:w="1147" w:type="dxa"/>
            <w:tcBorders>
              <w:top w:val="single" w:color="000000" w:sz="18" w:space="0"/>
              <w:left w:val="single" w:color="000000" w:sz="18" w:space="0"/>
              <w:bottom w:val="nil"/>
              <w:right w:val="single" w:color="000000" w:sz="8" w:space="0"/>
            </w:tcBorders>
            <w:shd w:val="clear" w:color="auto" w:fill="FFFFFF"/>
          </w:tcPr>
          <w:p w14:paraId="0028D105">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127</w:t>
            </w:r>
          </w:p>
        </w:tc>
        <w:tc>
          <w:tcPr>
            <w:tcW w:w="994" w:type="dxa"/>
            <w:tcBorders>
              <w:top w:val="single" w:color="000000" w:sz="18" w:space="0"/>
              <w:left w:val="single" w:color="000000" w:sz="8" w:space="0"/>
              <w:bottom w:val="nil"/>
              <w:right w:val="single" w:color="000000" w:sz="8" w:space="0"/>
            </w:tcBorders>
            <w:shd w:val="clear" w:color="auto" w:fill="FFFFFF"/>
          </w:tcPr>
          <w:p w14:paraId="234C559F">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44.1</w:t>
            </w:r>
          </w:p>
        </w:tc>
        <w:tc>
          <w:tcPr>
            <w:tcW w:w="1376" w:type="dxa"/>
            <w:tcBorders>
              <w:top w:val="single" w:color="000000" w:sz="18" w:space="0"/>
              <w:left w:val="single" w:color="000000" w:sz="8" w:space="0"/>
              <w:bottom w:val="nil"/>
              <w:right w:val="single" w:color="000000" w:sz="8" w:space="0"/>
            </w:tcBorders>
            <w:shd w:val="clear" w:color="auto" w:fill="FFFFFF"/>
          </w:tcPr>
          <w:p w14:paraId="7C1A85F0">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45.0</w:t>
            </w:r>
          </w:p>
        </w:tc>
        <w:tc>
          <w:tcPr>
            <w:tcW w:w="1468" w:type="dxa"/>
            <w:tcBorders>
              <w:top w:val="single" w:color="000000" w:sz="18" w:space="0"/>
              <w:left w:val="single" w:color="000000" w:sz="8" w:space="0"/>
              <w:bottom w:val="nil"/>
              <w:right w:val="single" w:color="000000" w:sz="18" w:space="0"/>
            </w:tcBorders>
            <w:shd w:val="clear" w:color="auto" w:fill="FFFFFF"/>
          </w:tcPr>
          <w:p w14:paraId="20960FFE">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45.0</w:t>
            </w:r>
          </w:p>
        </w:tc>
      </w:tr>
      <w:tr w14:paraId="2FE4A4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661" w:type="dxa"/>
            <w:vMerge w:val="continue"/>
            <w:tcBorders>
              <w:top w:val="single" w:color="000000" w:sz="18" w:space="0"/>
              <w:left w:val="single" w:color="000000" w:sz="18" w:space="0"/>
              <w:bottom w:val="nil"/>
              <w:right w:val="nil"/>
            </w:tcBorders>
            <w:vAlign w:val="center"/>
          </w:tcPr>
          <w:p w14:paraId="1E73B460">
            <w:pPr>
              <w:spacing w:after="0" w:line="256" w:lineRule="auto"/>
              <w:jc w:val="left"/>
              <w:rPr>
                <w:rFonts w:ascii="Arial" w:hAnsi="Arial" w:cs="Arial"/>
                <w:color w:val="000000"/>
                <w:sz w:val="18"/>
                <w:szCs w:val="18"/>
                <w:highlight w:val="none"/>
                <w:lang w:val="en-US"/>
              </w:rPr>
            </w:pPr>
          </w:p>
        </w:tc>
        <w:tc>
          <w:tcPr>
            <w:tcW w:w="1743" w:type="dxa"/>
            <w:tcBorders>
              <w:top w:val="nil"/>
              <w:left w:val="nil"/>
              <w:bottom w:val="nil"/>
              <w:right w:val="single" w:color="000000" w:sz="18" w:space="0"/>
            </w:tcBorders>
            <w:shd w:val="clear" w:color="auto" w:fill="FFFFFF"/>
            <w:vAlign w:val="center"/>
          </w:tcPr>
          <w:p w14:paraId="72965282">
            <w:pPr>
              <w:autoSpaceDE w:val="0"/>
              <w:autoSpaceDN w:val="0"/>
              <w:adjustRightInd w:val="0"/>
              <w:spacing w:after="0" w:line="320" w:lineRule="atLeast"/>
              <w:ind w:left="60" w:right="60"/>
              <w:jc w:val="left"/>
              <w:rPr>
                <w:rFonts w:ascii="Arial" w:hAnsi="Arial" w:cs="Arial"/>
                <w:color w:val="000000"/>
                <w:sz w:val="18"/>
                <w:szCs w:val="18"/>
                <w:highlight w:val="none"/>
                <w:lang w:val="en-US"/>
              </w:rPr>
            </w:pPr>
            <w:r>
              <w:rPr>
                <w:rFonts w:ascii="Arial" w:hAnsi="Arial" w:cs="Arial"/>
                <w:color w:val="000000"/>
                <w:sz w:val="18"/>
                <w:szCs w:val="18"/>
                <w:highlight w:val="none"/>
                <w:lang w:val="en-US"/>
              </w:rPr>
              <w:t>Agree</w:t>
            </w:r>
          </w:p>
        </w:tc>
        <w:tc>
          <w:tcPr>
            <w:tcW w:w="1147" w:type="dxa"/>
            <w:tcBorders>
              <w:top w:val="nil"/>
              <w:left w:val="single" w:color="000000" w:sz="18" w:space="0"/>
              <w:bottom w:val="nil"/>
              <w:right w:val="single" w:color="000000" w:sz="8" w:space="0"/>
            </w:tcBorders>
            <w:shd w:val="clear" w:color="auto" w:fill="FFFFFF"/>
          </w:tcPr>
          <w:p w14:paraId="32BBC142">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155</w:t>
            </w:r>
          </w:p>
        </w:tc>
        <w:tc>
          <w:tcPr>
            <w:tcW w:w="994" w:type="dxa"/>
            <w:tcBorders>
              <w:top w:val="nil"/>
              <w:left w:val="single" w:color="000000" w:sz="8" w:space="0"/>
              <w:bottom w:val="nil"/>
              <w:right w:val="single" w:color="000000" w:sz="8" w:space="0"/>
            </w:tcBorders>
            <w:shd w:val="clear" w:color="auto" w:fill="FFFFFF"/>
          </w:tcPr>
          <w:p w14:paraId="4AA3AC16">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53.8</w:t>
            </w:r>
          </w:p>
        </w:tc>
        <w:tc>
          <w:tcPr>
            <w:tcW w:w="1376" w:type="dxa"/>
            <w:tcBorders>
              <w:top w:val="nil"/>
              <w:left w:val="single" w:color="000000" w:sz="8" w:space="0"/>
              <w:bottom w:val="nil"/>
              <w:right w:val="single" w:color="000000" w:sz="8" w:space="0"/>
            </w:tcBorders>
            <w:shd w:val="clear" w:color="auto" w:fill="FFFFFF"/>
          </w:tcPr>
          <w:p w14:paraId="653BC41D">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55.0</w:t>
            </w:r>
          </w:p>
        </w:tc>
        <w:tc>
          <w:tcPr>
            <w:tcW w:w="1468" w:type="dxa"/>
            <w:tcBorders>
              <w:top w:val="nil"/>
              <w:left w:val="single" w:color="000000" w:sz="8" w:space="0"/>
              <w:bottom w:val="nil"/>
              <w:right w:val="single" w:color="000000" w:sz="18" w:space="0"/>
            </w:tcBorders>
            <w:shd w:val="clear" w:color="auto" w:fill="FFFFFF"/>
          </w:tcPr>
          <w:p w14:paraId="38DC155B">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100.0</w:t>
            </w:r>
          </w:p>
        </w:tc>
      </w:tr>
      <w:tr w14:paraId="68CFDF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661" w:type="dxa"/>
            <w:vMerge w:val="continue"/>
            <w:tcBorders>
              <w:top w:val="single" w:color="000000" w:sz="18" w:space="0"/>
              <w:left w:val="single" w:color="000000" w:sz="18" w:space="0"/>
              <w:bottom w:val="nil"/>
              <w:right w:val="nil"/>
            </w:tcBorders>
            <w:vAlign w:val="center"/>
          </w:tcPr>
          <w:p w14:paraId="04C513B5">
            <w:pPr>
              <w:spacing w:after="0" w:line="256" w:lineRule="auto"/>
              <w:jc w:val="left"/>
              <w:rPr>
                <w:rFonts w:ascii="Arial" w:hAnsi="Arial" w:cs="Arial"/>
                <w:color w:val="000000"/>
                <w:sz w:val="18"/>
                <w:szCs w:val="18"/>
                <w:highlight w:val="none"/>
                <w:lang w:val="en-US"/>
              </w:rPr>
            </w:pPr>
          </w:p>
        </w:tc>
        <w:tc>
          <w:tcPr>
            <w:tcW w:w="1743" w:type="dxa"/>
            <w:tcBorders>
              <w:top w:val="nil"/>
              <w:left w:val="nil"/>
              <w:bottom w:val="nil"/>
              <w:right w:val="single" w:color="000000" w:sz="18" w:space="0"/>
            </w:tcBorders>
            <w:shd w:val="clear" w:color="auto" w:fill="FFFFFF"/>
            <w:vAlign w:val="center"/>
          </w:tcPr>
          <w:p w14:paraId="2AE7C6F4">
            <w:pPr>
              <w:autoSpaceDE w:val="0"/>
              <w:autoSpaceDN w:val="0"/>
              <w:adjustRightInd w:val="0"/>
              <w:spacing w:after="0" w:line="320" w:lineRule="atLeast"/>
              <w:ind w:left="60" w:right="60"/>
              <w:jc w:val="left"/>
              <w:rPr>
                <w:rFonts w:ascii="Arial" w:hAnsi="Arial" w:cs="Arial"/>
                <w:color w:val="000000"/>
                <w:sz w:val="18"/>
                <w:szCs w:val="18"/>
                <w:highlight w:val="none"/>
                <w:lang w:val="en-US"/>
              </w:rPr>
            </w:pPr>
            <w:r>
              <w:rPr>
                <w:rFonts w:ascii="Arial" w:hAnsi="Arial" w:cs="Arial"/>
                <w:color w:val="000000"/>
                <w:sz w:val="18"/>
                <w:szCs w:val="18"/>
                <w:highlight w:val="none"/>
                <w:lang w:val="en-US"/>
              </w:rPr>
              <w:t>Total</w:t>
            </w:r>
          </w:p>
        </w:tc>
        <w:tc>
          <w:tcPr>
            <w:tcW w:w="1147" w:type="dxa"/>
            <w:tcBorders>
              <w:top w:val="nil"/>
              <w:left w:val="single" w:color="000000" w:sz="18" w:space="0"/>
              <w:bottom w:val="nil"/>
              <w:right w:val="single" w:color="000000" w:sz="8" w:space="0"/>
            </w:tcBorders>
            <w:shd w:val="clear" w:color="auto" w:fill="FFFFFF"/>
          </w:tcPr>
          <w:p w14:paraId="7C595FC3">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994" w:type="dxa"/>
            <w:tcBorders>
              <w:top w:val="nil"/>
              <w:left w:val="single" w:color="000000" w:sz="8" w:space="0"/>
              <w:bottom w:val="nil"/>
              <w:right w:val="single" w:color="000000" w:sz="8" w:space="0"/>
            </w:tcBorders>
            <w:shd w:val="clear" w:color="auto" w:fill="FFFFFF"/>
          </w:tcPr>
          <w:p w14:paraId="60D8E684">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97.9</w:t>
            </w:r>
          </w:p>
        </w:tc>
        <w:tc>
          <w:tcPr>
            <w:tcW w:w="1376" w:type="dxa"/>
            <w:tcBorders>
              <w:top w:val="nil"/>
              <w:left w:val="single" w:color="000000" w:sz="8" w:space="0"/>
              <w:bottom w:val="nil"/>
              <w:right w:val="single" w:color="000000" w:sz="8" w:space="0"/>
            </w:tcBorders>
            <w:shd w:val="clear" w:color="auto" w:fill="FFFFFF"/>
          </w:tcPr>
          <w:p w14:paraId="5F4FEA79">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100.0</w:t>
            </w:r>
          </w:p>
        </w:tc>
        <w:tc>
          <w:tcPr>
            <w:tcW w:w="1468" w:type="dxa"/>
            <w:tcBorders>
              <w:top w:val="nil"/>
              <w:left w:val="single" w:color="000000" w:sz="8" w:space="0"/>
              <w:bottom w:val="nil"/>
              <w:right w:val="single" w:color="000000" w:sz="18" w:space="0"/>
            </w:tcBorders>
            <w:shd w:val="clear" w:color="auto" w:fill="FFFFFF"/>
          </w:tcPr>
          <w:p w14:paraId="0F90F51A">
            <w:pPr>
              <w:autoSpaceDE w:val="0"/>
              <w:autoSpaceDN w:val="0"/>
              <w:adjustRightInd w:val="0"/>
              <w:spacing w:after="0" w:line="240" w:lineRule="auto"/>
              <w:jc w:val="left"/>
              <w:rPr>
                <w:rFonts w:cs="Times New Roman"/>
                <w:szCs w:val="24"/>
                <w:highlight w:val="none"/>
                <w:lang w:val="en-US"/>
              </w:rPr>
            </w:pPr>
          </w:p>
        </w:tc>
      </w:tr>
      <w:tr w14:paraId="000746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933" w:type="dxa"/>
            <w:tcBorders>
              <w:top w:val="nil"/>
              <w:left w:val="single" w:color="000000" w:sz="18" w:space="0"/>
              <w:bottom w:val="nil"/>
              <w:right w:val="nil"/>
            </w:tcBorders>
            <w:shd w:val="clear" w:color="auto" w:fill="FFFFFF"/>
            <w:vAlign w:val="center"/>
          </w:tcPr>
          <w:p w14:paraId="43C476D8">
            <w:pPr>
              <w:autoSpaceDE w:val="0"/>
              <w:autoSpaceDN w:val="0"/>
              <w:adjustRightInd w:val="0"/>
              <w:spacing w:after="0" w:line="320" w:lineRule="atLeast"/>
              <w:ind w:left="60" w:right="60"/>
              <w:jc w:val="left"/>
              <w:rPr>
                <w:rFonts w:ascii="Arial" w:hAnsi="Arial" w:cs="Arial"/>
                <w:color w:val="000000"/>
                <w:sz w:val="18"/>
                <w:szCs w:val="18"/>
                <w:highlight w:val="none"/>
                <w:lang w:val="en-US"/>
              </w:rPr>
            </w:pPr>
            <w:r>
              <w:rPr>
                <w:rFonts w:ascii="Arial" w:hAnsi="Arial" w:cs="Arial"/>
                <w:color w:val="000000"/>
                <w:sz w:val="18"/>
                <w:szCs w:val="18"/>
                <w:highlight w:val="none"/>
                <w:lang w:val="en-US"/>
              </w:rPr>
              <w:t>Missing</w:t>
            </w:r>
          </w:p>
        </w:tc>
        <w:tc>
          <w:tcPr>
            <w:tcW w:w="1743" w:type="dxa"/>
            <w:tcBorders>
              <w:top w:val="nil"/>
              <w:left w:val="nil"/>
              <w:bottom w:val="nil"/>
              <w:right w:val="single" w:color="000000" w:sz="18" w:space="0"/>
            </w:tcBorders>
            <w:shd w:val="clear" w:color="auto" w:fill="FFFFFF"/>
            <w:vAlign w:val="center"/>
          </w:tcPr>
          <w:p w14:paraId="68F87D05">
            <w:pPr>
              <w:autoSpaceDE w:val="0"/>
              <w:autoSpaceDN w:val="0"/>
              <w:adjustRightInd w:val="0"/>
              <w:spacing w:after="0" w:line="320" w:lineRule="atLeast"/>
              <w:ind w:left="60" w:right="60"/>
              <w:jc w:val="left"/>
              <w:rPr>
                <w:rFonts w:ascii="Arial" w:hAnsi="Arial" w:cs="Arial"/>
                <w:color w:val="000000"/>
                <w:sz w:val="18"/>
                <w:szCs w:val="18"/>
                <w:highlight w:val="none"/>
                <w:lang w:val="en-US"/>
              </w:rPr>
            </w:pPr>
            <w:r>
              <w:rPr>
                <w:rFonts w:ascii="Arial" w:hAnsi="Arial" w:cs="Arial"/>
                <w:color w:val="000000"/>
                <w:sz w:val="18"/>
                <w:szCs w:val="18"/>
                <w:highlight w:val="none"/>
                <w:lang w:val="en-US"/>
              </w:rPr>
              <w:t>System</w:t>
            </w:r>
          </w:p>
        </w:tc>
        <w:tc>
          <w:tcPr>
            <w:tcW w:w="1147" w:type="dxa"/>
            <w:tcBorders>
              <w:top w:val="nil"/>
              <w:left w:val="single" w:color="000000" w:sz="18" w:space="0"/>
              <w:bottom w:val="nil"/>
              <w:right w:val="single" w:color="000000" w:sz="8" w:space="0"/>
            </w:tcBorders>
            <w:shd w:val="clear" w:color="auto" w:fill="FFFFFF"/>
          </w:tcPr>
          <w:p w14:paraId="5C626BC7">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6</w:t>
            </w:r>
          </w:p>
        </w:tc>
        <w:tc>
          <w:tcPr>
            <w:tcW w:w="994" w:type="dxa"/>
            <w:tcBorders>
              <w:top w:val="nil"/>
              <w:left w:val="single" w:color="000000" w:sz="8" w:space="0"/>
              <w:bottom w:val="nil"/>
              <w:right w:val="single" w:color="000000" w:sz="8" w:space="0"/>
            </w:tcBorders>
            <w:shd w:val="clear" w:color="auto" w:fill="FFFFFF"/>
          </w:tcPr>
          <w:p w14:paraId="328CD131">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2.1</w:t>
            </w:r>
          </w:p>
        </w:tc>
        <w:tc>
          <w:tcPr>
            <w:tcW w:w="1376" w:type="dxa"/>
            <w:tcBorders>
              <w:top w:val="nil"/>
              <w:left w:val="single" w:color="000000" w:sz="8" w:space="0"/>
              <w:bottom w:val="nil"/>
              <w:right w:val="single" w:color="000000" w:sz="8" w:space="0"/>
            </w:tcBorders>
            <w:shd w:val="clear" w:color="auto" w:fill="FFFFFF"/>
          </w:tcPr>
          <w:p w14:paraId="7924484F">
            <w:pPr>
              <w:autoSpaceDE w:val="0"/>
              <w:autoSpaceDN w:val="0"/>
              <w:adjustRightInd w:val="0"/>
              <w:spacing w:after="0" w:line="240" w:lineRule="auto"/>
              <w:jc w:val="left"/>
              <w:rPr>
                <w:rFonts w:cs="Times New Roman"/>
                <w:szCs w:val="24"/>
                <w:highlight w:val="none"/>
                <w:lang w:val="en-US"/>
              </w:rPr>
            </w:pPr>
          </w:p>
        </w:tc>
        <w:tc>
          <w:tcPr>
            <w:tcW w:w="1468" w:type="dxa"/>
            <w:tcBorders>
              <w:top w:val="nil"/>
              <w:left w:val="single" w:color="000000" w:sz="8" w:space="0"/>
              <w:bottom w:val="nil"/>
              <w:right w:val="single" w:color="000000" w:sz="18" w:space="0"/>
            </w:tcBorders>
            <w:shd w:val="clear" w:color="auto" w:fill="FFFFFF"/>
          </w:tcPr>
          <w:p w14:paraId="12F18691">
            <w:pPr>
              <w:autoSpaceDE w:val="0"/>
              <w:autoSpaceDN w:val="0"/>
              <w:adjustRightInd w:val="0"/>
              <w:spacing w:after="0" w:line="240" w:lineRule="auto"/>
              <w:jc w:val="left"/>
              <w:rPr>
                <w:rFonts w:cs="Times New Roman"/>
                <w:szCs w:val="24"/>
                <w:highlight w:val="none"/>
                <w:lang w:val="en-US"/>
              </w:rPr>
            </w:pPr>
          </w:p>
        </w:tc>
      </w:tr>
      <w:tr w14:paraId="4271F6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676" w:type="dxa"/>
            <w:gridSpan w:val="2"/>
            <w:tcBorders>
              <w:top w:val="nil"/>
              <w:left w:val="single" w:color="000000" w:sz="18" w:space="0"/>
              <w:bottom w:val="single" w:color="000000" w:sz="18" w:space="0"/>
              <w:right w:val="nil"/>
            </w:tcBorders>
            <w:shd w:val="clear" w:color="auto" w:fill="FFFFFF"/>
            <w:vAlign w:val="center"/>
          </w:tcPr>
          <w:p w14:paraId="35AF044C">
            <w:pPr>
              <w:autoSpaceDE w:val="0"/>
              <w:autoSpaceDN w:val="0"/>
              <w:adjustRightInd w:val="0"/>
              <w:spacing w:after="0" w:line="320" w:lineRule="atLeast"/>
              <w:ind w:left="60" w:right="60"/>
              <w:jc w:val="left"/>
              <w:rPr>
                <w:rFonts w:ascii="Arial" w:hAnsi="Arial" w:cs="Arial"/>
                <w:color w:val="000000"/>
                <w:sz w:val="18"/>
                <w:szCs w:val="18"/>
                <w:highlight w:val="none"/>
                <w:lang w:val="en-US"/>
              </w:rPr>
            </w:pPr>
            <w:r>
              <w:rPr>
                <w:rFonts w:ascii="Arial" w:hAnsi="Arial" w:cs="Arial"/>
                <w:color w:val="000000"/>
                <w:sz w:val="18"/>
                <w:szCs w:val="18"/>
                <w:highlight w:val="none"/>
                <w:lang w:val="en-US"/>
              </w:rPr>
              <w:t>Total</w:t>
            </w:r>
          </w:p>
        </w:tc>
        <w:tc>
          <w:tcPr>
            <w:tcW w:w="1147" w:type="dxa"/>
            <w:tcBorders>
              <w:top w:val="nil"/>
              <w:left w:val="single" w:color="000000" w:sz="18" w:space="0"/>
              <w:bottom w:val="single" w:color="000000" w:sz="18" w:space="0"/>
              <w:right w:val="single" w:color="000000" w:sz="8" w:space="0"/>
            </w:tcBorders>
            <w:shd w:val="clear" w:color="auto" w:fill="FFFFFF"/>
          </w:tcPr>
          <w:p w14:paraId="282E92DE">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288</w:t>
            </w:r>
          </w:p>
        </w:tc>
        <w:tc>
          <w:tcPr>
            <w:tcW w:w="994" w:type="dxa"/>
            <w:tcBorders>
              <w:top w:val="nil"/>
              <w:left w:val="single" w:color="000000" w:sz="8" w:space="0"/>
              <w:bottom w:val="single" w:color="000000" w:sz="18" w:space="0"/>
              <w:right w:val="single" w:color="000000" w:sz="8" w:space="0"/>
            </w:tcBorders>
            <w:shd w:val="clear" w:color="auto" w:fill="FFFFFF"/>
          </w:tcPr>
          <w:p w14:paraId="239A4598">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100.0</w:t>
            </w:r>
          </w:p>
        </w:tc>
        <w:tc>
          <w:tcPr>
            <w:tcW w:w="1376" w:type="dxa"/>
            <w:tcBorders>
              <w:top w:val="nil"/>
              <w:left w:val="single" w:color="000000" w:sz="8" w:space="0"/>
              <w:bottom w:val="single" w:color="000000" w:sz="18" w:space="0"/>
              <w:right w:val="single" w:color="000000" w:sz="8" w:space="0"/>
            </w:tcBorders>
            <w:shd w:val="clear" w:color="auto" w:fill="FFFFFF"/>
          </w:tcPr>
          <w:p w14:paraId="21A6164A">
            <w:pPr>
              <w:autoSpaceDE w:val="0"/>
              <w:autoSpaceDN w:val="0"/>
              <w:adjustRightInd w:val="0"/>
              <w:spacing w:after="0" w:line="240" w:lineRule="auto"/>
              <w:jc w:val="left"/>
              <w:rPr>
                <w:rFonts w:cs="Times New Roman"/>
                <w:szCs w:val="24"/>
                <w:highlight w:val="none"/>
                <w:lang w:val="en-US"/>
              </w:rPr>
            </w:pPr>
          </w:p>
        </w:tc>
        <w:tc>
          <w:tcPr>
            <w:tcW w:w="1468" w:type="dxa"/>
            <w:tcBorders>
              <w:top w:val="nil"/>
              <w:left w:val="single" w:color="000000" w:sz="8" w:space="0"/>
              <w:bottom w:val="single" w:color="000000" w:sz="18" w:space="0"/>
              <w:right w:val="single" w:color="000000" w:sz="18" w:space="0"/>
            </w:tcBorders>
            <w:shd w:val="clear" w:color="auto" w:fill="FFFFFF"/>
          </w:tcPr>
          <w:p w14:paraId="71BFA9FB">
            <w:pPr>
              <w:autoSpaceDE w:val="0"/>
              <w:autoSpaceDN w:val="0"/>
              <w:adjustRightInd w:val="0"/>
              <w:spacing w:after="0" w:line="240" w:lineRule="auto"/>
              <w:jc w:val="left"/>
              <w:rPr>
                <w:rFonts w:cs="Times New Roman"/>
                <w:szCs w:val="24"/>
                <w:highlight w:val="none"/>
                <w:lang w:val="en-US"/>
              </w:rPr>
            </w:pPr>
          </w:p>
        </w:tc>
      </w:tr>
    </w:tbl>
    <w:p w14:paraId="45B180D5">
      <w:pPr>
        <w:autoSpaceDE w:val="0"/>
        <w:autoSpaceDN w:val="0"/>
        <w:adjustRightInd w:val="0"/>
        <w:spacing w:after="0" w:line="400" w:lineRule="atLeast"/>
        <w:jc w:val="left"/>
        <w:rPr>
          <w:rFonts w:cs="Times New Roman"/>
          <w:szCs w:val="24"/>
          <w:highlight w:val="none"/>
          <w:lang w:val="en-US"/>
        </w:rPr>
      </w:pPr>
    </w:p>
    <w:p w14:paraId="51EC7141">
      <w:pPr>
        <w:adjustRightInd w:val="0"/>
        <w:rPr>
          <w:rFonts w:cs="Times New Roman"/>
          <w:szCs w:val="24"/>
          <w:highlight w:val="none"/>
          <w:lang w:val="en-US"/>
        </w:rPr>
      </w:pPr>
      <w:r>
        <w:rPr>
          <w:rFonts w:cs="Times New Roman"/>
          <w:szCs w:val="24"/>
          <w:highlight w:val="none"/>
          <w:lang w:val="en-US"/>
        </w:rPr>
        <w:t xml:space="preserve">To take the response to question 2: most respondents Strongly agreed with asking, "Lack of training of workers is a major challenge to the effective QMS implementation". The higher respondent, such as 155 responses, has been intellectual in favour of Q2, and a higher percentage, 54% of participants, has been intellectual with this question. </w:t>
      </w:r>
    </w:p>
    <w:p w14:paraId="0CE605F3">
      <w:pPr>
        <w:autoSpaceDE w:val="0"/>
        <w:autoSpaceDN w:val="0"/>
        <w:adjustRightInd w:val="0"/>
        <w:spacing w:after="0" w:line="240" w:lineRule="auto"/>
        <w:ind w:firstLine="720"/>
        <w:jc w:val="left"/>
        <w:rPr>
          <w:rFonts w:cs="Times New Roman"/>
          <w:szCs w:val="24"/>
          <w:highlight w:val="none"/>
          <w:lang w:val="en-US"/>
        </w:rPr>
      </w:pPr>
    </w:p>
    <w:tbl>
      <w:tblPr>
        <w:tblStyle w:val="12"/>
        <w:tblW w:w="768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32"/>
        <w:gridCol w:w="1744"/>
        <w:gridCol w:w="1148"/>
        <w:gridCol w:w="1010"/>
        <w:gridCol w:w="1377"/>
        <w:gridCol w:w="1469"/>
      </w:tblGrid>
      <w:tr w14:paraId="57F04A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676" w:type="dxa"/>
            <w:gridSpan w:val="6"/>
            <w:tcBorders>
              <w:top w:val="nil"/>
              <w:left w:val="nil"/>
              <w:bottom w:val="nil"/>
              <w:right w:val="nil"/>
            </w:tcBorders>
            <w:shd w:val="clear" w:color="auto" w:fill="FFFFFF"/>
          </w:tcPr>
          <w:p w14:paraId="1E443F2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b/>
                <w:bCs/>
                <w:color w:val="000000"/>
                <w:sz w:val="18"/>
                <w:szCs w:val="18"/>
                <w:highlight w:val="none"/>
                <w:lang w:val="en-US"/>
              </w:rPr>
              <w:t>Q2.</w:t>
            </w:r>
          </w:p>
        </w:tc>
      </w:tr>
      <w:tr w14:paraId="630B37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676" w:type="dxa"/>
            <w:gridSpan w:val="2"/>
            <w:tcBorders>
              <w:top w:val="single" w:color="000000" w:sz="18" w:space="0"/>
              <w:left w:val="single" w:color="000000" w:sz="18" w:space="0"/>
              <w:bottom w:val="single" w:color="000000" w:sz="18" w:space="0"/>
              <w:right w:val="nil"/>
            </w:tcBorders>
            <w:shd w:val="clear" w:color="auto" w:fill="FFFFFF"/>
          </w:tcPr>
          <w:p w14:paraId="76741221">
            <w:pPr>
              <w:autoSpaceDE w:val="0"/>
              <w:autoSpaceDN w:val="0"/>
              <w:adjustRightInd w:val="0"/>
              <w:spacing w:after="0" w:line="240" w:lineRule="auto"/>
              <w:jc w:val="left"/>
              <w:rPr>
                <w:rFonts w:cs="Times New Roman"/>
                <w:szCs w:val="24"/>
                <w:highlight w:val="none"/>
                <w:lang w:val="en-US"/>
              </w:rPr>
            </w:pPr>
          </w:p>
        </w:tc>
        <w:tc>
          <w:tcPr>
            <w:tcW w:w="1147" w:type="dxa"/>
            <w:tcBorders>
              <w:top w:val="single" w:color="000000" w:sz="18" w:space="0"/>
              <w:left w:val="single" w:color="000000" w:sz="18" w:space="0"/>
              <w:bottom w:val="single" w:color="000000" w:sz="18" w:space="0"/>
              <w:right w:val="single" w:color="000000" w:sz="8" w:space="0"/>
            </w:tcBorders>
            <w:shd w:val="clear" w:color="auto" w:fill="FFFFFF"/>
          </w:tcPr>
          <w:p w14:paraId="40296F1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Frequency</w:t>
            </w:r>
          </w:p>
        </w:tc>
        <w:tc>
          <w:tcPr>
            <w:tcW w:w="1009" w:type="dxa"/>
            <w:tcBorders>
              <w:top w:val="single" w:color="000000" w:sz="18" w:space="0"/>
              <w:left w:val="single" w:color="000000" w:sz="8" w:space="0"/>
              <w:bottom w:val="single" w:color="000000" w:sz="18" w:space="0"/>
              <w:right w:val="single" w:color="000000" w:sz="8" w:space="0"/>
            </w:tcBorders>
            <w:shd w:val="clear" w:color="auto" w:fill="FFFFFF"/>
          </w:tcPr>
          <w:p w14:paraId="26F2DBA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Per cent</w:t>
            </w:r>
          </w:p>
        </w:tc>
        <w:tc>
          <w:tcPr>
            <w:tcW w:w="1376" w:type="dxa"/>
            <w:tcBorders>
              <w:top w:val="single" w:color="000000" w:sz="18" w:space="0"/>
              <w:left w:val="single" w:color="000000" w:sz="8" w:space="0"/>
              <w:bottom w:val="single" w:color="000000" w:sz="18" w:space="0"/>
              <w:right w:val="single" w:color="000000" w:sz="8" w:space="0"/>
            </w:tcBorders>
            <w:shd w:val="clear" w:color="auto" w:fill="FFFFFF"/>
          </w:tcPr>
          <w:p w14:paraId="3AB87DD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Valid Percent</w:t>
            </w:r>
          </w:p>
        </w:tc>
        <w:tc>
          <w:tcPr>
            <w:tcW w:w="1468" w:type="dxa"/>
            <w:tcBorders>
              <w:top w:val="single" w:color="000000" w:sz="18" w:space="0"/>
              <w:left w:val="single" w:color="000000" w:sz="8" w:space="0"/>
              <w:bottom w:val="single" w:color="000000" w:sz="18" w:space="0"/>
              <w:right w:val="single" w:color="000000" w:sz="18" w:space="0"/>
            </w:tcBorders>
            <w:shd w:val="clear" w:color="auto" w:fill="FFFFFF"/>
          </w:tcPr>
          <w:p w14:paraId="642A497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Cumulative Percent</w:t>
            </w:r>
          </w:p>
        </w:tc>
      </w:tr>
      <w:tr w14:paraId="4E083B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933" w:type="dxa"/>
            <w:vMerge w:val="restart"/>
            <w:tcBorders>
              <w:top w:val="single" w:color="000000" w:sz="18" w:space="0"/>
              <w:left w:val="single" w:color="000000" w:sz="18" w:space="0"/>
              <w:bottom w:val="nil"/>
              <w:right w:val="nil"/>
            </w:tcBorders>
            <w:shd w:val="clear" w:color="auto" w:fill="FFFFFF"/>
            <w:vAlign w:val="center"/>
          </w:tcPr>
          <w:p w14:paraId="7CBA9B45">
            <w:pPr>
              <w:autoSpaceDE w:val="0"/>
              <w:autoSpaceDN w:val="0"/>
              <w:adjustRightInd w:val="0"/>
              <w:spacing w:after="0" w:line="320" w:lineRule="atLeast"/>
              <w:ind w:left="60" w:right="60"/>
              <w:jc w:val="left"/>
              <w:rPr>
                <w:rFonts w:ascii="Arial" w:hAnsi="Arial" w:cs="Arial"/>
                <w:color w:val="000000"/>
                <w:sz w:val="18"/>
                <w:szCs w:val="18"/>
                <w:highlight w:val="none"/>
                <w:lang w:val="en-US"/>
              </w:rPr>
            </w:pPr>
            <w:r>
              <w:rPr>
                <w:rFonts w:ascii="Arial" w:hAnsi="Arial" w:cs="Arial"/>
                <w:color w:val="000000"/>
                <w:sz w:val="18"/>
                <w:szCs w:val="18"/>
                <w:highlight w:val="none"/>
                <w:lang w:val="en-US"/>
              </w:rPr>
              <w:t>Valid</w:t>
            </w:r>
          </w:p>
        </w:tc>
        <w:tc>
          <w:tcPr>
            <w:tcW w:w="1743" w:type="dxa"/>
            <w:tcBorders>
              <w:top w:val="single" w:color="000000" w:sz="18" w:space="0"/>
              <w:left w:val="nil"/>
              <w:bottom w:val="nil"/>
              <w:right w:val="single" w:color="000000" w:sz="18" w:space="0"/>
            </w:tcBorders>
            <w:shd w:val="clear" w:color="auto" w:fill="FFFFFF"/>
            <w:vAlign w:val="center"/>
          </w:tcPr>
          <w:p w14:paraId="42901A08">
            <w:pPr>
              <w:autoSpaceDE w:val="0"/>
              <w:autoSpaceDN w:val="0"/>
              <w:adjustRightInd w:val="0"/>
              <w:spacing w:after="0" w:line="320" w:lineRule="atLeast"/>
              <w:ind w:left="60" w:right="60"/>
              <w:jc w:val="left"/>
              <w:rPr>
                <w:rFonts w:ascii="Arial" w:hAnsi="Arial" w:cs="Arial"/>
                <w:color w:val="000000"/>
                <w:sz w:val="18"/>
                <w:szCs w:val="18"/>
                <w:highlight w:val="none"/>
                <w:lang w:val="en-US"/>
              </w:rPr>
            </w:pPr>
            <w:r>
              <w:rPr>
                <w:rFonts w:ascii="Arial" w:hAnsi="Arial" w:cs="Arial"/>
                <w:color w:val="000000"/>
                <w:sz w:val="18"/>
                <w:szCs w:val="18"/>
                <w:highlight w:val="none"/>
                <w:lang w:val="en-US"/>
              </w:rPr>
              <w:t>Strongly disagree</w:t>
            </w:r>
          </w:p>
        </w:tc>
        <w:tc>
          <w:tcPr>
            <w:tcW w:w="1147" w:type="dxa"/>
            <w:tcBorders>
              <w:top w:val="single" w:color="000000" w:sz="18" w:space="0"/>
              <w:left w:val="single" w:color="000000" w:sz="18" w:space="0"/>
              <w:bottom w:val="nil"/>
              <w:right w:val="single" w:color="000000" w:sz="8" w:space="0"/>
            </w:tcBorders>
            <w:shd w:val="clear" w:color="auto" w:fill="FFFFFF"/>
          </w:tcPr>
          <w:p w14:paraId="5539329A">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w:t>
            </w:r>
          </w:p>
        </w:tc>
        <w:tc>
          <w:tcPr>
            <w:tcW w:w="1009" w:type="dxa"/>
            <w:tcBorders>
              <w:top w:val="single" w:color="000000" w:sz="18" w:space="0"/>
              <w:left w:val="single" w:color="000000" w:sz="8" w:space="0"/>
              <w:bottom w:val="nil"/>
              <w:right w:val="single" w:color="000000" w:sz="8" w:space="0"/>
            </w:tcBorders>
            <w:shd w:val="clear" w:color="auto" w:fill="FFFFFF"/>
          </w:tcPr>
          <w:p w14:paraId="4CCE1A55">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.3</w:t>
            </w:r>
          </w:p>
        </w:tc>
        <w:tc>
          <w:tcPr>
            <w:tcW w:w="1376" w:type="dxa"/>
            <w:tcBorders>
              <w:top w:val="single" w:color="000000" w:sz="18" w:space="0"/>
              <w:left w:val="single" w:color="000000" w:sz="8" w:space="0"/>
              <w:bottom w:val="nil"/>
              <w:right w:val="single" w:color="000000" w:sz="8" w:space="0"/>
            </w:tcBorders>
            <w:shd w:val="clear" w:color="auto" w:fill="FFFFFF"/>
          </w:tcPr>
          <w:p w14:paraId="6D113804">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.4</w:t>
            </w:r>
          </w:p>
        </w:tc>
        <w:tc>
          <w:tcPr>
            <w:tcW w:w="1468" w:type="dxa"/>
            <w:tcBorders>
              <w:top w:val="single" w:color="000000" w:sz="18" w:space="0"/>
              <w:left w:val="single" w:color="000000" w:sz="8" w:space="0"/>
              <w:bottom w:val="nil"/>
              <w:right w:val="single" w:color="000000" w:sz="18" w:space="0"/>
            </w:tcBorders>
            <w:shd w:val="clear" w:color="auto" w:fill="FFFFFF"/>
          </w:tcPr>
          <w:p w14:paraId="63BF1857">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.4</w:t>
            </w:r>
          </w:p>
        </w:tc>
      </w:tr>
      <w:tr w14:paraId="058FF2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676" w:type="dxa"/>
            <w:vMerge w:val="continue"/>
            <w:tcBorders>
              <w:top w:val="single" w:color="000000" w:sz="18" w:space="0"/>
              <w:left w:val="single" w:color="000000" w:sz="18" w:space="0"/>
              <w:bottom w:val="nil"/>
              <w:right w:val="nil"/>
            </w:tcBorders>
            <w:vAlign w:val="center"/>
          </w:tcPr>
          <w:p w14:paraId="724C65E4">
            <w:pPr>
              <w:spacing w:after="0" w:line="256" w:lineRule="auto"/>
              <w:jc w:val="left"/>
              <w:rPr>
                <w:rFonts w:ascii="Arial" w:hAnsi="Arial" w:cs="Arial"/>
                <w:color w:val="000000"/>
                <w:sz w:val="18"/>
                <w:szCs w:val="18"/>
                <w:highlight w:val="none"/>
                <w:lang w:val="en-US"/>
              </w:rPr>
            </w:pPr>
          </w:p>
        </w:tc>
        <w:tc>
          <w:tcPr>
            <w:tcW w:w="1743" w:type="dxa"/>
            <w:tcBorders>
              <w:top w:val="nil"/>
              <w:left w:val="nil"/>
              <w:bottom w:val="nil"/>
              <w:right w:val="single" w:color="000000" w:sz="18" w:space="0"/>
            </w:tcBorders>
            <w:shd w:val="clear" w:color="auto" w:fill="FFFFFF"/>
            <w:vAlign w:val="center"/>
          </w:tcPr>
          <w:p w14:paraId="7E44940E">
            <w:pPr>
              <w:autoSpaceDE w:val="0"/>
              <w:autoSpaceDN w:val="0"/>
              <w:adjustRightInd w:val="0"/>
              <w:spacing w:after="0" w:line="320" w:lineRule="atLeast"/>
              <w:ind w:left="60" w:right="60"/>
              <w:jc w:val="left"/>
              <w:rPr>
                <w:rFonts w:ascii="Arial" w:hAnsi="Arial" w:cs="Arial"/>
                <w:color w:val="000000"/>
                <w:sz w:val="18"/>
                <w:szCs w:val="18"/>
                <w:highlight w:val="none"/>
                <w:lang w:val="en-US"/>
              </w:rPr>
            </w:pPr>
            <w:r>
              <w:rPr>
                <w:rFonts w:ascii="Arial" w:hAnsi="Arial" w:cs="Arial"/>
                <w:color w:val="000000"/>
                <w:sz w:val="18"/>
                <w:szCs w:val="18"/>
                <w:highlight w:val="none"/>
                <w:lang w:val="en-US"/>
              </w:rPr>
              <w:t>Disagree</w:t>
            </w:r>
          </w:p>
        </w:tc>
        <w:tc>
          <w:tcPr>
            <w:tcW w:w="1147" w:type="dxa"/>
            <w:tcBorders>
              <w:top w:val="nil"/>
              <w:left w:val="single" w:color="000000" w:sz="18" w:space="0"/>
              <w:bottom w:val="nil"/>
              <w:right w:val="single" w:color="000000" w:sz="8" w:space="0"/>
            </w:tcBorders>
            <w:shd w:val="clear" w:color="auto" w:fill="FFFFFF"/>
          </w:tcPr>
          <w:p w14:paraId="0F99857D">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127</w:t>
            </w:r>
          </w:p>
        </w:tc>
        <w:tc>
          <w:tcPr>
            <w:tcW w:w="1009" w:type="dxa"/>
            <w:tcBorders>
              <w:top w:val="nil"/>
              <w:left w:val="single" w:color="000000" w:sz="8" w:space="0"/>
              <w:bottom w:val="nil"/>
              <w:right w:val="single" w:color="000000" w:sz="8" w:space="0"/>
            </w:tcBorders>
            <w:shd w:val="clear" w:color="auto" w:fill="FFFFFF"/>
          </w:tcPr>
          <w:p w14:paraId="47F943AD">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44.1</w:t>
            </w:r>
          </w:p>
        </w:tc>
        <w:tc>
          <w:tcPr>
            <w:tcW w:w="1376" w:type="dxa"/>
            <w:tcBorders>
              <w:top w:val="nil"/>
              <w:left w:val="single" w:color="000000" w:sz="8" w:space="0"/>
              <w:bottom w:val="nil"/>
              <w:right w:val="single" w:color="000000" w:sz="8" w:space="0"/>
            </w:tcBorders>
            <w:shd w:val="clear" w:color="auto" w:fill="FFFFFF"/>
          </w:tcPr>
          <w:p w14:paraId="4197E2A3">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45.0</w:t>
            </w:r>
          </w:p>
        </w:tc>
        <w:tc>
          <w:tcPr>
            <w:tcW w:w="1468" w:type="dxa"/>
            <w:tcBorders>
              <w:top w:val="nil"/>
              <w:left w:val="single" w:color="000000" w:sz="8" w:space="0"/>
              <w:bottom w:val="nil"/>
              <w:right w:val="single" w:color="000000" w:sz="18" w:space="0"/>
            </w:tcBorders>
            <w:shd w:val="clear" w:color="auto" w:fill="FFFFFF"/>
          </w:tcPr>
          <w:p w14:paraId="3DC1316B">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45.4</w:t>
            </w:r>
          </w:p>
        </w:tc>
      </w:tr>
      <w:tr w14:paraId="59102E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676" w:type="dxa"/>
            <w:vMerge w:val="continue"/>
            <w:tcBorders>
              <w:top w:val="single" w:color="000000" w:sz="18" w:space="0"/>
              <w:left w:val="single" w:color="000000" w:sz="18" w:space="0"/>
              <w:bottom w:val="nil"/>
              <w:right w:val="nil"/>
            </w:tcBorders>
            <w:vAlign w:val="center"/>
          </w:tcPr>
          <w:p w14:paraId="62988700">
            <w:pPr>
              <w:spacing w:after="0" w:line="256" w:lineRule="auto"/>
              <w:jc w:val="left"/>
              <w:rPr>
                <w:rFonts w:ascii="Arial" w:hAnsi="Arial" w:cs="Arial"/>
                <w:color w:val="000000"/>
                <w:sz w:val="18"/>
                <w:szCs w:val="18"/>
                <w:highlight w:val="none"/>
                <w:lang w:val="en-US"/>
              </w:rPr>
            </w:pPr>
          </w:p>
        </w:tc>
        <w:tc>
          <w:tcPr>
            <w:tcW w:w="1743" w:type="dxa"/>
            <w:tcBorders>
              <w:top w:val="nil"/>
              <w:left w:val="nil"/>
              <w:bottom w:val="nil"/>
              <w:right w:val="single" w:color="000000" w:sz="18" w:space="0"/>
            </w:tcBorders>
            <w:shd w:val="clear" w:color="auto" w:fill="FFFFFF"/>
            <w:vAlign w:val="center"/>
          </w:tcPr>
          <w:p w14:paraId="7031731F">
            <w:pPr>
              <w:autoSpaceDE w:val="0"/>
              <w:autoSpaceDN w:val="0"/>
              <w:adjustRightInd w:val="0"/>
              <w:spacing w:after="0" w:line="320" w:lineRule="atLeast"/>
              <w:ind w:left="60" w:right="60"/>
              <w:jc w:val="left"/>
              <w:rPr>
                <w:rFonts w:ascii="Arial" w:hAnsi="Arial" w:cs="Arial"/>
                <w:color w:val="000000"/>
                <w:sz w:val="18"/>
                <w:szCs w:val="18"/>
                <w:highlight w:val="none"/>
                <w:lang w:val="en-US"/>
              </w:rPr>
            </w:pPr>
            <w:r>
              <w:rPr>
                <w:rFonts w:ascii="Arial" w:hAnsi="Arial" w:cs="Arial"/>
                <w:color w:val="000000"/>
                <w:sz w:val="18"/>
                <w:szCs w:val="18"/>
                <w:highlight w:val="none"/>
                <w:lang w:val="en-US"/>
              </w:rPr>
              <w:t>Strongly agree</w:t>
            </w:r>
          </w:p>
        </w:tc>
        <w:tc>
          <w:tcPr>
            <w:tcW w:w="1147" w:type="dxa"/>
            <w:tcBorders>
              <w:top w:val="nil"/>
              <w:left w:val="single" w:color="000000" w:sz="18" w:space="0"/>
              <w:bottom w:val="nil"/>
              <w:right w:val="single" w:color="000000" w:sz="8" w:space="0"/>
            </w:tcBorders>
            <w:shd w:val="clear" w:color="auto" w:fill="FFFFFF"/>
          </w:tcPr>
          <w:p w14:paraId="5849E938">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154</w:t>
            </w:r>
          </w:p>
        </w:tc>
        <w:tc>
          <w:tcPr>
            <w:tcW w:w="1009" w:type="dxa"/>
            <w:tcBorders>
              <w:top w:val="nil"/>
              <w:left w:val="single" w:color="000000" w:sz="8" w:space="0"/>
              <w:bottom w:val="nil"/>
              <w:right w:val="single" w:color="000000" w:sz="8" w:space="0"/>
            </w:tcBorders>
            <w:shd w:val="clear" w:color="auto" w:fill="FFFFFF"/>
          </w:tcPr>
          <w:p w14:paraId="6DB2FAEA">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53.5</w:t>
            </w:r>
          </w:p>
        </w:tc>
        <w:tc>
          <w:tcPr>
            <w:tcW w:w="1376" w:type="dxa"/>
            <w:tcBorders>
              <w:top w:val="nil"/>
              <w:left w:val="single" w:color="000000" w:sz="8" w:space="0"/>
              <w:bottom w:val="nil"/>
              <w:right w:val="single" w:color="000000" w:sz="8" w:space="0"/>
            </w:tcBorders>
            <w:shd w:val="clear" w:color="auto" w:fill="FFFFFF"/>
          </w:tcPr>
          <w:p w14:paraId="05CC49F7">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54.6</w:t>
            </w:r>
          </w:p>
        </w:tc>
        <w:tc>
          <w:tcPr>
            <w:tcW w:w="1468" w:type="dxa"/>
            <w:tcBorders>
              <w:top w:val="nil"/>
              <w:left w:val="single" w:color="000000" w:sz="8" w:space="0"/>
              <w:bottom w:val="nil"/>
              <w:right w:val="single" w:color="000000" w:sz="18" w:space="0"/>
            </w:tcBorders>
            <w:shd w:val="clear" w:color="auto" w:fill="FFFFFF"/>
          </w:tcPr>
          <w:p w14:paraId="719A2362">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100.0</w:t>
            </w:r>
          </w:p>
        </w:tc>
      </w:tr>
      <w:tr w14:paraId="1F4F6A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676" w:type="dxa"/>
            <w:vMerge w:val="continue"/>
            <w:tcBorders>
              <w:top w:val="single" w:color="000000" w:sz="18" w:space="0"/>
              <w:left w:val="single" w:color="000000" w:sz="18" w:space="0"/>
              <w:bottom w:val="nil"/>
              <w:right w:val="nil"/>
            </w:tcBorders>
            <w:vAlign w:val="center"/>
          </w:tcPr>
          <w:p w14:paraId="26C9D251">
            <w:pPr>
              <w:spacing w:after="0" w:line="256" w:lineRule="auto"/>
              <w:jc w:val="left"/>
              <w:rPr>
                <w:rFonts w:ascii="Arial" w:hAnsi="Arial" w:cs="Arial"/>
                <w:color w:val="000000"/>
                <w:sz w:val="18"/>
                <w:szCs w:val="18"/>
                <w:highlight w:val="none"/>
                <w:lang w:val="en-US"/>
              </w:rPr>
            </w:pPr>
          </w:p>
        </w:tc>
        <w:tc>
          <w:tcPr>
            <w:tcW w:w="1743" w:type="dxa"/>
            <w:tcBorders>
              <w:top w:val="nil"/>
              <w:left w:val="nil"/>
              <w:bottom w:val="nil"/>
              <w:right w:val="single" w:color="000000" w:sz="18" w:space="0"/>
            </w:tcBorders>
            <w:shd w:val="clear" w:color="auto" w:fill="FFFFFF"/>
            <w:vAlign w:val="center"/>
          </w:tcPr>
          <w:p w14:paraId="11073524">
            <w:pPr>
              <w:autoSpaceDE w:val="0"/>
              <w:autoSpaceDN w:val="0"/>
              <w:adjustRightInd w:val="0"/>
              <w:spacing w:after="0" w:line="320" w:lineRule="atLeast"/>
              <w:ind w:left="60" w:right="60"/>
              <w:jc w:val="left"/>
              <w:rPr>
                <w:rFonts w:ascii="Arial" w:hAnsi="Arial" w:cs="Arial"/>
                <w:color w:val="000000"/>
                <w:sz w:val="18"/>
                <w:szCs w:val="18"/>
                <w:highlight w:val="none"/>
                <w:lang w:val="en-US"/>
              </w:rPr>
            </w:pPr>
            <w:r>
              <w:rPr>
                <w:rFonts w:ascii="Arial" w:hAnsi="Arial" w:cs="Arial"/>
                <w:color w:val="000000"/>
                <w:sz w:val="18"/>
                <w:szCs w:val="18"/>
                <w:highlight w:val="none"/>
                <w:lang w:val="en-US"/>
              </w:rPr>
              <w:t>Total</w:t>
            </w:r>
          </w:p>
        </w:tc>
        <w:tc>
          <w:tcPr>
            <w:tcW w:w="1147" w:type="dxa"/>
            <w:tcBorders>
              <w:top w:val="nil"/>
              <w:left w:val="single" w:color="000000" w:sz="18" w:space="0"/>
              <w:bottom w:val="nil"/>
              <w:right w:val="single" w:color="000000" w:sz="8" w:space="0"/>
            </w:tcBorders>
            <w:shd w:val="clear" w:color="auto" w:fill="FFFFFF"/>
          </w:tcPr>
          <w:p w14:paraId="7D248E6F">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1009" w:type="dxa"/>
            <w:tcBorders>
              <w:top w:val="nil"/>
              <w:left w:val="single" w:color="000000" w:sz="8" w:space="0"/>
              <w:bottom w:val="nil"/>
              <w:right w:val="single" w:color="000000" w:sz="8" w:space="0"/>
            </w:tcBorders>
            <w:shd w:val="clear" w:color="auto" w:fill="FFFFFF"/>
          </w:tcPr>
          <w:p w14:paraId="5BCF858E">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97.9</w:t>
            </w:r>
          </w:p>
        </w:tc>
        <w:tc>
          <w:tcPr>
            <w:tcW w:w="1376" w:type="dxa"/>
            <w:tcBorders>
              <w:top w:val="nil"/>
              <w:left w:val="single" w:color="000000" w:sz="8" w:space="0"/>
              <w:bottom w:val="nil"/>
              <w:right w:val="single" w:color="000000" w:sz="8" w:space="0"/>
            </w:tcBorders>
            <w:shd w:val="clear" w:color="auto" w:fill="FFFFFF"/>
          </w:tcPr>
          <w:p w14:paraId="41E6154B">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100.0</w:t>
            </w:r>
          </w:p>
        </w:tc>
        <w:tc>
          <w:tcPr>
            <w:tcW w:w="1468" w:type="dxa"/>
            <w:tcBorders>
              <w:top w:val="nil"/>
              <w:left w:val="single" w:color="000000" w:sz="8" w:space="0"/>
              <w:bottom w:val="nil"/>
              <w:right w:val="single" w:color="000000" w:sz="18" w:space="0"/>
            </w:tcBorders>
            <w:shd w:val="clear" w:color="auto" w:fill="FFFFFF"/>
          </w:tcPr>
          <w:p w14:paraId="5063E79A">
            <w:pPr>
              <w:autoSpaceDE w:val="0"/>
              <w:autoSpaceDN w:val="0"/>
              <w:adjustRightInd w:val="0"/>
              <w:spacing w:after="0" w:line="240" w:lineRule="auto"/>
              <w:jc w:val="left"/>
              <w:rPr>
                <w:rFonts w:cs="Times New Roman"/>
                <w:szCs w:val="24"/>
                <w:highlight w:val="none"/>
                <w:lang w:val="en-US"/>
              </w:rPr>
            </w:pPr>
          </w:p>
        </w:tc>
      </w:tr>
      <w:tr w14:paraId="08D13A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933" w:type="dxa"/>
            <w:tcBorders>
              <w:top w:val="nil"/>
              <w:left w:val="single" w:color="000000" w:sz="18" w:space="0"/>
              <w:bottom w:val="nil"/>
              <w:right w:val="nil"/>
            </w:tcBorders>
            <w:shd w:val="clear" w:color="auto" w:fill="FFFFFF"/>
            <w:vAlign w:val="center"/>
          </w:tcPr>
          <w:p w14:paraId="5650C18A">
            <w:pPr>
              <w:autoSpaceDE w:val="0"/>
              <w:autoSpaceDN w:val="0"/>
              <w:adjustRightInd w:val="0"/>
              <w:spacing w:after="0" w:line="320" w:lineRule="atLeast"/>
              <w:ind w:left="60" w:right="60"/>
              <w:jc w:val="left"/>
              <w:rPr>
                <w:rFonts w:ascii="Arial" w:hAnsi="Arial" w:cs="Arial"/>
                <w:color w:val="000000"/>
                <w:sz w:val="18"/>
                <w:szCs w:val="18"/>
                <w:highlight w:val="none"/>
                <w:lang w:val="en-US"/>
              </w:rPr>
            </w:pPr>
            <w:r>
              <w:rPr>
                <w:rFonts w:ascii="Arial" w:hAnsi="Arial" w:cs="Arial"/>
                <w:color w:val="000000"/>
                <w:sz w:val="18"/>
                <w:szCs w:val="18"/>
                <w:highlight w:val="none"/>
                <w:lang w:val="en-US"/>
              </w:rPr>
              <w:t>Missing</w:t>
            </w:r>
          </w:p>
        </w:tc>
        <w:tc>
          <w:tcPr>
            <w:tcW w:w="1743" w:type="dxa"/>
            <w:tcBorders>
              <w:top w:val="nil"/>
              <w:left w:val="nil"/>
              <w:bottom w:val="nil"/>
              <w:right w:val="single" w:color="000000" w:sz="18" w:space="0"/>
            </w:tcBorders>
            <w:shd w:val="clear" w:color="auto" w:fill="FFFFFF"/>
            <w:vAlign w:val="center"/>
          </w:tcPr>
          <w:p w14:paraId="39CD6F10">
            <w:pPr>
              <w:autoSpaceDE w:val="0"/>
              <w:autoSpaceDN w:val="0"/>
              <w:adjustRightInd w:val="0"/>
              <w:spacing w:after="0" w:line="320" w:lineRule="atLeast"/>
              <w:ind w:left="60" w:right="60"/>
              <w:jc w:val="left"/>
              <w:rPr>
                <w:rFonts w:ascii="Arial" w:hAnsi="Arial" w:cs="Arial"/>
                <w:color w:val="000000"/>
                <w:sz w:val="18"/>
                <w:szCs w:val="18"/>
                <w:highlight w:val="none"/>
                <w:lang w:val="en-US"/>
              </w:rPr>
            </w:pPr>
            <w:r>
              <w:rPr>
                <w:rFonts w:ascii="Arial" w:hAnsi="Arial" w:cs="Arial"/>
                <w:color w:val="000000"/>
                <w:sz w:val="18"/>
                <w:szCs w:val="18"/>
                <w:highlight w:val="none"/>
                <w:lang w:val="en-US"/>
              </w:rPr>
              <w:t>System</w:t>
            </w:r>
          </w:p>
        </w:tc>
        <w:tc>
          <w:tcPr>
            <w:tcW w:w="1147" w:type="dxa"/>
            <w:tcBorders>
              <w:top w:val="nil"/>
              <w:left w:val="single" w:color="000000" w:sz="18" w:space="0"/>
              <w:bottom w:val="nil"/>
              <w:right w:val="single" w:color="000000" w:sz="8" w:space="0"/>
            </w:tcBorders>
            <w:shd w:val="clear" w:color="auto" w:fill="FFFFFF"/>
          </w:tcPr>
          <w:p w14:paraId="360D8698">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6</w:t>
            </w:r>
          </w:p>
        </w:tc>
        <w:tc>
          <w:tcPr>
            <w:tcW w:w="1009" w:type="dxa"/>
            <w:tcBorders>
              <w:top w:val="nil"/>
              <w:left w:val="single" w:color="000000" w:sz="8" w:space="0"/>
              <w:bottom w:val="nil"/>
              <w:right w:val="single" w:color="000000" w:sz="8" w:space="0"/>
            </w:tcBorders>
            <w:shd w:val="clear" w:color="auto" w:fill="FFFFFF"/>
          </w:tcPr>
          <w:p w14:paraId="1C7313F2">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2.1</w:t>
            </w:r>
          </w:p>
        </w:tc>
        <w:tc>
          <w:tcPr>
            <w:tcW w:w="1376" w:type="dxa"/>
            <w:tcBorders>
              <w:top w:val="nil"/>
              <w:left w:val="single" w:color="000000" w:sz="8" w:space="0"/>
              <w:bottom w:val="nil"/>
              <w:right w:val="single" w:color="000000" w:sz="8" w:space="0"/>
            </w:tcBorders>
            <w:shd w:val="clear" w:color="auto" w:fill="FFFFFF"/>
          </w:tcPr>
          <w:p w14:paraId="16D7052B">
            <w:pPr>
              <w:autoSpaceDE w:val="0"/>
              <w:autoSpaceDN w:val="0"/>
              <w:adjustRightInd w:val="0"/>
              <w:spacing w:after="0" w:line="240" w:lineRule="auto"/>
              <w:jc w:val="left"/>
              <w:rPr>
                <w:rFonts w:cs="Times New Roman"/>
                <w:szCs w:val="24"/>
                <w:highlight w:val="none"/>
                <w:lang w:val="en-US"/>
              </w:rPr>
            </w:pPr>
          </w:p>
        </w:tc>
        <w:tc>
          <w:tcPr>
            <w:tcW w:w="1468" w:type="dxa"/>
            <w:tcBorders>
              <w:top w:val="nil"/>
              <w:left w:val="single" w:color="000000" w:sz="8" w:space="0"/>
              <w:bottom w:val="nil"/>
              <w:right w:val="single" w:color="000000" w:sz="18" w:space="0"/>
            </w:tcBorders>
            <w:shd w:val="clear" w:color="auto" w:fill="FFFFFF"/>
          </w:tcPr>
          <w:p w14:paraId="2C002D8D">
            <w:pPr>
              <w:autoSpaceDE w:val="0"/>
              <w:autoSpaceDN w:val="0"/>
              <w:adjustRightInd w:val="0"/>
              <w:spacing w:after="0" w:line="240" w:lineRule="auto"/>
              <w:jc w:val="left"/>
              <w:rPr>
                <w:rFonts w:cs="Times New Roman"/>
                <w:szCs w:val="24"/>
                <w:highlight w:val="none"/>
                <w:lang w:val="en-US"/>
              </w:rPr>
            </w:pPr>
          </w:p>
        </w:tc>
      </w:tr>
      <w:tr w14:paraId="4ABC51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676" w:type="dxa"/>
            <w:gridSpan w:val="2"/>
            <w:tcBorders>
              <w:top w:val="nil"/>
              <w:left w:val="single" w:color="000000" w:sz="18" w:space="0"/>
              <w:bottom w:val="single" w:color="000000" w:sz="18" w:space="0"/>
              <w:right w:val="nil"/>
            </w:tcBorders>
            <w:shd w:val="clear" w:color="auto" w:fill="FFFFFF"/>
            <w:vAlign w:val="center"/>
          </w:tcPr>
          <w:p w14:paraId="0725B419">
            <w:pPr>
              <w:autoSpaceDE w:val="0"/>
              <w:autoSpaceDN w:val="0"/>
              <w:adjustRightInd w:val="0"/>
              <w:spacing w:after="0" w:line="320" w:lineRule="atLeast"/>
              <w:ind w:left="60" w:right="60"/>
              <w:jc w:val="left"/>
              <w:rPr>
                <w:rFonts w:ascii="Arial" w:hAnsi="Arial" w:cs="Arial"/>
                <w:color w:val="000000"/>
                <w:sz w:val="18"/>
                <w:szCs w:val="18"/>
                <w:highlight w:val="none"/>
                <w:lang w:val="en-US"/>
              </w:rPr>
            </w:pPr>
            <w:r>
              <w:rPr>
                <w:rFonts w:ascii="Arial" w:hAnsi="Arial" w:cs="Arial"/>
                <w:color w:val="000000"/>
                <w:sz w:val="18"/>
                <w:szCs w:val="18"/>
                <w:highlight w:val="none"/>
                <w:lang w:val="en-US"/>
              </w:rPr>
              <w:t>Total</w:t>
            </w:r>
          </w:p>
        </w:tc>
        <w:tc>
          <w:tcPr>
            <w:tcW w:w="1147" w:type="dxa"/>
            <w:tcBorders>
              <w:top w:val="nil"/>
              <w:left w:val="single" w:color="000000" w:sz="18" w:space="0"/>
              <w:bottom w:val="single" w:color="000000" w:sz="18" w:space="0"/>
              <w:right w:val="single" w:color="000000" w:sz="8" w:space="0"/>
            </w:tcBorders>
            <w:shd w:val="clear" w:color="auto" w:fill="FFFFFF"/>
          </w:tcPr>
          <w:p w14:paraId="1AF0CAC0">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288</w:t>
            </w:r>
          </w:p>
        </w:tc>
        <w:tc>
          <w:tcPr>
            <w:tcW w:w="1009" w:type="dxa"/>
            <w:tcBorders>
              <w:top w:val="nil"/>
              <w:left w:val="single" w:color="000000" w:sz="8" w:space="0"/>
              <w:bottom w:val="single" w:color="000000" w:sz="18" w:space="0"/>
              <w:right w:val="single" w:color="000000" w:sz="8" w:space="0"/>
            </w:tcBorders>
            <w:shd w:val="clear" w:color="auto" w:fill="FFFFFF"/>
          </w:tcPr>
          <w:p w14:paraId="180F4420">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100.0</w:t>
            </w:r>
          </w:p>
        </w:tc>
        <w:tc>
          <w:tcPr>
            <w:tcW w:w="1376" w:type="dxa"/>
            <w:tcBorders>
              <w:top w:val="nil"/>
              <w:left w:val="single" w:color="000000" w:sz="8" w:space="0"/>
              <w:bottom w:val="single" w:color="000000" w:sz="18" w:space="0"/>
              <w:right w:val="single" w:color="000000" w:sz="8" w:space="0"/>
            </w:tcBorders>
            <w:shd w:val="clear" w:color="auto" w:fill="FFFFFF"/>
          </w:tcPr>
          <w:p w14:paraId="25F7ADA7">
            <w:pPr>
              <w:autoSpaceDE w:val="0"/>
              <w:autoSpaceDN w:val="0"/>
              <w:adjustRightInd w:val="0"/>
              <w:spacing w:after="0" w:line="240" w:lineRule="auto"/>
              <w:jc w:val="left"/>
              <w:rPr>
                <w:rFonts w:cs="Times New Roman"/>
                <w:szCs w:val="24"/>
                <w:highlight w:val="none"/>
                <w:lang w:val="en-US"/>
              </w:rPr>
            </w:pPr>
          </w:p>
        </w:tc>
        <w:tc>
          <w:tcPr>
            <w:tcW w:w="1468" w:type="dxa"/>
            <w:tcBorders>
              <w:top w:val="nil"/>
              <w:left w:val="single" w:color="000000" w:sz="8" w:space="0"/>
              <w:bottom w:val="single" w:color="000000" w:sz="18" w:space="0"/>
              <w:right w:val="single" w:color="000000" w:sz="18" w:space="0"/>
            </w:tcBorders>
            <w:shd w:val="clear" w:color="auto" w:fill="FFFFFF"/>
          </w:tcPr>
          <w:p w14:paraId="2B049CED">
            <w:pPr>
              <w:autoSpaceDE w:val="0"/>
              <w:autoSpaceDN w:val="0"/>
              <w:adjustRightInd w:val="0"/>
              <w:spacing w:after="0" w:line="240" w:lineRule="auto"/>
              <w:jc w:val="left"/>
              <w:rPr>
                <w:rFonts w:cs="Times New Roman"/>
                <w:szCs w:val="24"/>
                <w:highlight w:val="none"/>
                <w:lang w:val="en-US"/>
              </w:rPr>
            </w:pPr>
          </w:p>
        </w:tc>
      </w:tr>
    </w:tbl>
    <w:p w14:paraId="118C959F">
      <w:pPr>
        <w:autoSpaceDE w:val="0"/>
        <w:autoSpaceDN w:val="0"/>
        <w:adjustRightInd w:val="0"/>
        <w:spacing w:after="0" w:line="400" w:lineRule="atLeast"/>
        <w:jc w:val="left"/>
        <w:rPr>
          <w:rFonts w:cs="Times New Roman"/>
          <w:szCs w:val="24"/>
          <w:highlight w:val="none"/>
          <w:lang w:val="en-US"/>
        </w:rPr>
      </w:pPr>
    </w:p>
    <w:p w14:paraId="479C892A">
      <w:pPr>
        <w:pStyle w:val="3"/>
        <w:numPr>
          <w:ilvl w:val="1"/>
          <w:numId w:val="4"/>
        </w:numPr>
        <w:rPr>
          <w:highlight w:val="none"/>
          <w:lang w:val="en-US"/>
        </w:rPr>
      </w:pPr>
      <w:r>
        <w:rPr>
          <w:highlight w:val="none"/>
          <w:lang w:val="en-US"/>
        </w:rPr>
        <w:t xml:space="preserve">Regression Analysis </w:t>
      </w:r>
    </w:p>
    <w:p w14:paraId="2CBE4828">
      <w:pPr>
        <w:adjustRightInd w:val="0"/>
        <w:rPr>
          <w:rFonts w:cs="Times New Roman"/>
          <w:szCs w:val="24"/>
          <w:highlight w:val="none"/>
          <w:lang w:val="en-US"/>
        </w:rPr>
      </w:pPr>
      <w:r>
        <w:rPr>
          <w:rFonts w:cs="Times New Roman"/>
          <w:szCs w:val="24"/>
          <w:highlight w:val="none"/>
          <w:lang w:val="en-US"/>
        </w:rPr>
        <w:t xml:space="preserve">The regression analysis has demonstrated how a change in the independent is linked with the change in dependent variables. Our analysis shows the significant coefficient sum of the squares, which indicates that the value of the independent variable increases due to the principal value of the dependent variable also rising. </w:t>
      </w:r>
    </w:p>
    <w:tbl>
      <w:tblPr>
        <w:tblStyle w:val="12"/>
        <w:tblW w:w="916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438"/>
        <w:gridCol w:w="1531"/>
        <w:gridCol w:w="1469"/>
        <w:gridCol w:w="1009"/>
        <w:gridCol w:w="1393"/>
        <w:gridCol w:w="1316"/>
        <w:gridCol w:w="1009"/>
      </w:tblGrid>
      <w:tr w14:paraId="727805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9163" w:type="dxa"/>
            <w:gridSpan w:val="7"/>
            <w:tcBorders>
              <w:top w:val="nil"/>
              <w:left w:val="nil"/>
              <w:bottom w:val="nil"/>
              <w:right w:val="nil"/>
            </w:tcBorders>
            <w:shd w:val="clear" w:color="auto" w:fill="FFFFFF"/>
          </w:tcPr>
          <w:p w14:paraId="04089D3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b/>
                <w:bCs/>
                <w:color w:val="000000"/>
                <w:sz w:val="18"/>
                <w:szCs w:val="18"/>
                <w:highlight w:val="none"/>
                <w:lang w:val="en-US"/>
              </w:rPr>
              <w:t>ANOVA with Cochran's Test</w:t>
            </w:r>
          </w:p>
        </w:tc>
      </w:tr>
      <w:tr w14:paraId="5F975A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967" w:type="dxa"/>
            <w:gridSpan w:val="2"/>
            <w:tcBorders>
              <w:top w:val="single" w:color="000000" w:sz="18" w:space="0"/>
              <w:left w:val="single" w:color="000000" w:sz="18" w:space="0"/>
              <w:bottom w:val="single" w:color="000000" w:sz="18" w:space="0"/>
              <w:right w:val="nil"/>
            </w:tcBorders>
            <w:shd w:val="clear" w:color="auto" w:fill="FFFFFF"/>
          </w:tcPr>
          <w:p w14:paraId="1E72BA5C">
            <w:pPr>
              <w:autoSpaceDE w:val="0"/>
              <w:autoSpaceDN w:val="0"/>
              <w:adjustRightInd w:val="0"/>
              <w:spacing w:after="0" w:line="240" w:lineRule="auto"/>
              <w:jc w:val="left"/>
              <w:rPr>
                <w:rFonts w:cs="Times New Roman"/>
                <w:szCs w:val="24"/>
                <w:highlight w:val="none"/>
                <w:lang w:val="en-US"/>
              </w:rPr>
            </w:pPr>
          </w:p>
        </w:tc>
        <w:tc>
          <w:tcPr>
            <w:tcW w:w="1469" w:type="dxa"/>
            <w:tcBorders>
              <w:top w:val="single" w:color="000000" w:sz="18" w:space="0"/>
              <w:left w:val="single" w:color="000000" w:sz="18" w:space="0"/>
              <w:bottom w:val="single" w:color="000000" w:sz="18" w:space="0"/>
              <w:right w:val="single" w:color="000000" w:sz="8" w:space="0"/>
            </w:tcBorders>
            <w:shd w:val="clear" w:color="auto" w:fill="FFFFFF"/>
          </w:tcPr>
          <w:p w14:paraId="48DF26B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Sum of Squares</w:t>
            </w:r>
          </w:p>
        </w:tc>
        <w:tc>
          <w:tcPr>
            <w:tcW w:w="1009" w:type="dxa"/>
            <w:tcBorders>
              <w:top w:val="single" w:color="000000" w:sz="18" w:space="0"/>
              <w:left w:val="single" w:color="000000" w:sz="8" w:space="0"/>
              <w:bottom w:val="single" w:color="000000" w:sz="18" w:space="0"/>
              <w:right w:val="single" w:color="000000" w:sz="8" w:space="0"/>
            </w:tcBorders>
            <w:shd w:val="clear" w:color="auto" w:fill="FFFFFF"/>
          </w:tcPr>
          <w:p w14:paraId="16595A6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df</w:t>
            </w:r>
          </w:p>
        </w:tc>
        <w:tc>
          <w:tcPr>
            <w:tcW w:w="1393" w:type="dxa"/>
            <w:tcBorders>
              <w:top w:val="single" w:color="000000" w:sz="18" w:space="0"/>
              <w:left w:val="single" w:color="000000" w:sz="8" w:space="0"/>
              <w:bottom w:val="single" w:color="000000" w:sz="18" w:space="0"/>
              <w:right w:val="single" w:color="000000" w:sz="8" w:space="0"/>
            </w:tcBorders>
            <w:shd w:val="clear" w:color="auto" w:fill="FFFFFF"/>
          </w:tcPr>
          <w:p w14:paraId="3BDBD22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Mean Square</w:t>
            </w:r>
          </w:p>
        </w:tc>
        <w:tc>
          <w:tcPr>
            <w:tcW w:w="1316" w:type="dxa"/>
            <w:tcBorders>
              <w:top w:val="single" w:color="000000" w:sz="18" w:space="0"/>
              <w:left w:val="single" w:color="000000" w:sz="8" w:space="0"/>
              <w:bottom w:val="single" w:color="000000" w:sz="18" w:space="0"/>
              <w:right w:val="single" w:color="000000" w:sz="8" w:space="0"/>
            </w:tcBorders>
            <w:shd w:val="clear" w:color="auto" w:fill="FFFFFF"/>
          </w:tcPr>
          <w:p w14:paraId="3B36C5B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Cochran's Q</w:t>
            </w:r>
          </w:p>
        </w:tc>
        <w:tc>
          <w:tcPr>
            <w:tcW w:w="1009" w:type="dxa"/>
            <w:tcBorders>
              <w:top w:val="single" w:color="000000" w:sz="18" w:space="0"/>
              <w:left w:val="single" w:color="000000" w:sz="8" w:space="0"/>
              <w:bottom w:val="single" w:color="000000" w:sz="18" w:space="0"/>
              <w:right w:val="single" w:color="000000" w:sz="18" w:space="0"/>
            </w:tcBorders>
            <w:shd w:val="clear" w:color="auto" w:fill="FFFFFF"/>
          </w:tcPr>
          <w:p w14:paraId="1AB5E04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Sig</w:t>
            </w:r>
          </w:p>
        </w:tc>
      </w:tr>
      <w:tr w14:paraId="65721E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967" w:type="dxa"/>
            <w:gridSpan w:val="2"/>
            <w:tcBorders>
              <w:top w:val="single" w:color="000000" w:sz="18" w:space="0"/>
              <w:left w:val="single" w:color="000000" w:sz="18" w:space="0"/>
              <w:bottom w:val="nil"/>
              <w:right w:val="nil"/>
            </w:tcBorders>
            <w:shd w:val="clear" w:color="auto" w:fill="FFFFFF"/>
            <w:vAlign w:val="center"/>
          </w:tcPr>
          <w:p w14:paraId="7D96AB47">
            <w:pPr>
              <w:autoSpaceDE w:val="0"/>
              <w:autoSpaceDN w:val="0"/>
              <w:adjustRightInd w:val="0"/>
              <w:spacing w:after="0" w:line="320" w:lineRule="atLeast"/>
              <w:ind w:left="60" w:right="60"/>
              <w:jc w:val="left"/>
              <w:rPr>
                <w:rFonts w:ascii="Arial" w:hAnsi="Arial" w:cs="Arial"/>
                <w:color w:val="000000"/>
                <w:sz w:val="18"/>
                <w:szCs w:val="18"/>
                <w:highlight w:val="none"/>
                <w:lang w:val="en-US"/>
              </w:rPr>
            </w:pPr>
            <w:r>
              <w:rPr>
                <w:rFonts w:ascii="Arial" w:hAnsi="Arial" w:cs="Arial"/>
                <w:color w:val="000000"/>
                <w:sz w:val="18"/>
                <w:szCs w:val="18"/>
                <w:highlight w:val="none"/>
                <w:lang w:val="en-US"/>
              </w:rPr>
              <w:t>Between People</w:t>
            </w:r>
          </w:p>
        </w:tc>
        <w:tc>
          <w:tcPr>
            <w:tcW w:w="1469" w:type="dxa"/>
            <w:tcBorders>
              <w:top w:val="single" w:color="000000" w:sz="18" w:space="0"/>
              <w:left w:val="single" w:color="000000" w:sz="18" w:space="0"/>
              <w:bottom w:val="nil"/>
              <w:right w:val="single" w:color="000000" w:sz="8" w:space="0"/>
            </w:tcBorders>
            <w:shd w:val="clear" w:color="auto" w:fill="FFFFFF"/>
          </w:tcPr>
          <w:p w14:paraId="2ABB3B89">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122579.664</w:t>
            </w:r>
          </w:p>
        </w:tc>
        <w:tc>
          <w:tcPr>
            <w:tcW w:w="1009" w:type="dxa"/>
            <w:tcBorders>
              <w:top w:val="single" w:color="000000" w:sz="18" w:space="0"/>
              <w:left w:val="single" w:color="000000" w:sz="8" w:space="0"/>
              <w:bottom w:val="nil"/>
              <w:right w:val="single" w:color="000000" w:sz="8" w:space="0"/>
            </w:tcBorders>
            <w:shd w:val="clear" w:color="auto" w:fill="FFFFFF"/>
          </w:tcPr>
          <w:p w14:paraId="0EF11A4D">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281</w:t>
            </w:r>
          </w:p>
        </w:tc>
        <w:tc>
          <w:tcPr>
            <w:tcW w:w="1393" w:type="dxa"/>
            <w:tcBorders>
              <w:top w:val="single" w:color="000000" w:sz="18" w:space="0"/>
              <w:left w:val="single" w:color="000000" w:sz="8" w:space="0"/>
              <w:bottom w:val="nil"/>
              <w:right w:val="single" w:color="000000" w:sz="8" w:space="0"/>
            </w:tcBorders>
            <w:shd w:val="clear" w:color="auto" w:fill="FFFFFF"/>
          </w:tcPr>
          <w:p w14:paraId="2D213947">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436.227</w:t>
            </w:r>
          </w:p>
        </w:tc>
        <w:tc>
          <w:tcPr>
            <w:tcW w:w="1316" w:type="dxa"/>
            <w:tcBorders>
              <w:top w:val="single" w:color="000000" w:sz="18" w:space="0"/>
              <w:left w:val="single" w:color="000000" w:sz="8" w:space="0"/>
              <w:bottom w:val="nil"/>
              <w:right w:val="single" w:color="000000" w:sz="8" w:space="0"/>
            </w:tcBorders>
            <w:shd w:val="clear" w:color="auto" w:fill="FFFFFF"/>
          </w:tcPr>
          <w:p w14:paraId="7EADC771">
            <w:pPr>
              <w:autoSpaceDE w:val="0"/>
              <w:autoSpaceDN w:val="0"/>
              <w:adjustRightInd w:val="0"/>
              <w:spacing w:after="0" w:line="240" w:lineRule="auto"/>
              <w:jc w:val="left"/>
              <w:rPr>
                <w:rFonts w:cs="Times New Roman"/>
                <w:szCs w:val="24"/>
                <w:highlight w:val="none"/>
                <w:lang w:val="en-US"/>
              </w:rPr>
            </w:pPr>
          </w:p>
        </w:tc>
        <w:tc>
          <w:tcPr>
            <w:tcW w:w="1009" w:type="dxa"/>
            <w:tcBorders>
              <w:top w:val="single" w:color="000000" w:sz="18" w:space="0"/>
              <w:left w:val="single" w:color="000000" w:sz="8" w:space="0"/>
              <w:bottom w:val="nil"/>
              <w:right w:val="single" w:color="000000" w:sz="18" w:space="0"/>
            </w:tcBorders>
            <w:shd w:val="clear" w:color="auto" w:fill="FFFFFF"/>
          </w:tcPr>
          <w:p w14:paraId="767564F6">
            <w:pPr>
              <w:autoSpaceDE w:val="0"/>
              <w:autoSpaceDN w:val="0"/>
              <w:adjustRightInd w:val="0"/>
              <w:spacing w:after="0" w:line="240" w:lineRule="auto"/>
              <w:jc w:val="left"/>
              <w:rPr>
                <w:rFonts w:cs="Times New Roman"/>
                <w:szCs w:val="24"/>
                <w:highlight w:val="none"/>
                <w:lang w:val="en-US"/>
              </w:rPr>
            </w:pPr>
          </w:p>
        </w:tc>
      </w:tr>
      <w:tr w14:paraId="2BE8D4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437" w:type="dxa"/>
            <w:vMerge w:val="restart"/>
            <w:tcBorders>
              <w:top w:val="nil"/>
              <w:left w:val="single" w:color="000000" w:sz="18" w:space="0"/>
              <w:bottom w:val="nil"/>
              <w:right w:val="nil"/>
            </w:tcBorders>
            <w:shd w:val="clear" w:color="auto" w:fill="FFFFFF"/>
            <w:vAlign w:val="center"/>
          </w:tcPr>
          <w:p w14:paraId="424C2F9E">
            <w:pPr>
              <w:autoSpaceDE w:val="0"/>
              <w:autoSpaceDN w:val="0"/>
              <w:adjustRightInd w:val="0"/>
              <w:spacing w:after="0" w:line="320" w:lineRule="atLeast"/>
              <w:ind w:left="60" w:right="60"/>
              <w:jc w:val="left"/>
              <w:rPr>
                <w:rFonts w:ascii="Arial" w:hAnsi="Arial" w:cs="Arial"/>
                <w:color w:val="000000"/>
                <w:sz w:val="18"/>
                <w:szCs w:val="18"/>
                <w:highlight w:val="none"/>
                <w:lang w:val="en-US"/>
              </w:rPr>
            </w:pPr>
            <w:r>
              <w:rPr>
                <w:rFonts w:ascii="Arial" w:hAnsi="Arial" w:cs="Arial"/>
                <w:color w:val="000000"/>
                <w:sz w:val="18"/>
                <w:szCs w:val="18"/>
                <w:highlight w:val="none"/>
                <w:lang w:val="en-US"/>
              </w:rPr>
              <w:t>Within People</w:t>
            </w:r>
          </w:p>
        </w:tc>
        <w:tc>
          <w:tcPr>
            <w:tcW w:w="1530" w:type="dxa"/>
            <w:tcBorders>
              <w:top w:val="nil"/>
              <w:left w:val="nil"/>
              <w:bottom w:val="nil"/>
              <w:right w:val="single" w:color="000000" w:sz="18" w:space="0"/>
            </w:tcBorders>
            <w:shd w:val="clear" w:color="auto" w:fill="FFFFFF"/>
            <w:vAlign w:val="center"/>
          </w:tcPr>
          <w:p w14:paraId="00834154">
            <w:pPr>
              <w:autoSpaceDE w:val="0"/>
              <w:autoSpaceDN w:val="0"/>
              <w:adjustRightInd w:val="0"/>
              <w:spacing w:after="0" w:line="320" w:lineRule="atLeast"/>
              <w:ind w:left="60" w:right="60"/>
              <w:jc w:val="left"/>
              <w:rPr>
                <w:rFonts w:ascii="Arial" w:hAnsi="Arial" w:cs="Arial"/>
                <w:color w:val="000000"/>
                <w:sz w:val="18"/>
                <w:szCs w:val="18"/>
                <w:highlight w:val="none"/>
                <w:lang w:val="en-US"/>
              </w:rPr>
            </w:pPr>
            <w:r>
              <w:rPr>
                <w:rFonts w:ascii="Arial" w:hAnsi="Arial" w:cs="Arial"/>
                <w:color w:val="000000"/>
                <w:sz w:val="18"/>
                <w:szCs w:val="18"/>
                <w:highlight w:val="none"/>
                <w:lang w:val="en-US"/>
              </w:rPr>
              <w:t>Between Items</w:t>
            </w:r>
          </w:p>
        </w:tc>
        <w:tc>
          <w:tcPr>
            <w:tcW w:w="1469" w:type="dxa"/>
            <w:tcBorders>
              <w:top w:val="nil"/>
              <w:left w:val="single" w:color="000000" w:sz="18" w:space="0"/>
              <w:bottom w:val="nil"/>
              <w:right w:val="single" w:color="000000" w:sz="8" w:space="0"/>
            </w:tcBorders>
            <w:shd w:val="clear" w:color="auto" w:fill="FFFFFF"/>
          </w:tcPr>
          <w:p w14:paraId="28148E21">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5063184.971</w:t>
            </w:r>
          </w:p>
        </w:tc>
        <w:tc>
          <w:tcPr>
            <w:tcW w:w="1009" w:type="dxa"/>
            <w:tcBorders>
              <w:top w:val="nil"/>
              <w:left w:val="single" w:color="000000" w:sz="8" w:space="0"/>
              <w:bottom w:val="nil"/>
              <w:right w:val="single" w:color="000000" w:sz="8" w:space="0"/>
            </w:tcBorders>
            <w:shd w:val="clear" w:color="auto" w:fill="FFFFFF"/>
          </w:tcPr>
          <w:p w14:paraId="44B7A20A">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15</w:t>
            </w:r>
          </w:p>
        </w:tc>
        <w:tc>
          <w:tcPr>
            <w:tcW w:w="1393" w:type="dxa"/>
            <w:tcBorders>
              <w:top w:val="nil"/>
              <w:left w:val="single" w:color="000000" w:sz="8" w:space="0"/>
              <w:bottom w:val="nil"/>
              <w:right w:val="single" w:color="000000" w:sz="8" w:space="0"/>
            </w:tcBorders>
            <w:shd w:val="clear" w:color="auto" w:fill="FFFFFF"/>
          </w:tcPr>
          <w:p w14:paraId="5B5C2AD5">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337545.665</w:t>
            </w:r>
          </w:p>
        </w:tc>
        <w:tc>
          <w:tcPr>
            <w:tcW w:w="1316" w:type="dxa"/>
            <w:tcBorders>
              <w:top w:val="nil"/>
              <w:left w:val="single" w:color="000000" w:sz="8" w:space="0"/>
              <w:bottom w:val="nil"/>
              <w:right w:val="single" w:color="000000" w:sz="8" w:space="0"/>
            </w:tcBorders>
            <w:shd w:val="clear" w:color="auto" w:fill="FFFFFF"/>
          </w:tcPr>
          <w:p w14:paraId="2E68B6B0">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3168.942</w:t>
            </w:r>
          </w:p>
        </w:tc>
        <w:tc>
          <w:tcPr>
            <w:tcW w:w="1009" w:type="dxa"/>
            <w:tcBorders>
              <w:top w:val="nil"/>
              <w:left w:val="single" w:color="000000" w:sz="8" w:space="0"/>
              <w:bottom w:val="nil"/>
              <w:right w:val="single" w:color="000000" w:sz="18" w:space="0"/>
            </w:tcBorders>
            <w:shd w:val="clear" w:color="auto" w:fill="FFFFFF"/>
          </w:tcPr>
          <w:p w14:paraId="48E33281">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r>
      <w:tr w14:paraId="1F55C4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9163" w:type="dxa"/>
            <w:vMerge w:val="continue"/>
            <w:tcBorders>
              <w:top w:val="nil"/>
              <w:left w:val="single" w:color="000000" w:sz="18" w:space="0"/>
              <w:bottom w:val="nil"/>
              <w:right w:val="nil"/>
            </w:tcBorders>
            <w:vAlign w:val="center"/>
          </w:tcPr>
          <w:p w14:paraId="38F3D6BC">
            <w:pPr>
              <w:spacing w:after="0" w:line="256" w:lineRule="auto"/>
              <w:jc w:val="left"/>
              <w:rPr>
                <w:rFonts w:ascii="Arial" w:hAnsi="Arial" w:cs="Arial"/>
                <w:color w:val="000000"/>
                <w:sz w:val="18"/>
                <w:szCs w:val="18"/>
                <w:highlight w:val="none"/>
                <w:lang w:val="en-US"/>
              </w:rPr>
            </w:pPr>
          </w:p>
        </w:tc>
        <w:tc>
          <w:tcPr>
            <w:tcW w:w="1530" w:type="dxa"/>
            <w:tcBorders>
              <w:top w:val="nil"/>
              <w:left w:val="nil"/>
              <w:bottom w:val="nil"/>
              <w:right w:val="single" w:color="000000" w:sz="18" w:space="0"/>
            </w:tcBorders>
            <w:shd w:val="clear" w:color="auto" w:fill="FFFFFF"/>
            <w:vAlign w:val="center"/>
          </w:tcPr>
          <w:p w14:paraId="4E6D12E2">
            <w:pPr>
              <w:autoSpaceDE w:val="0"/>
              <w:autoSpaceDN w:val="0"/>
              <w:adjustRightInd w:val="0"/>
              <w:spacing w:after="0" w:line="320" w:lineRule="atLeast"/>
              <w:ind w:left="60" w:right="60"/>
              <w:jc w:val="left"/>
              <w:rPr>
                <w:rFonts w:ascii="Arial" w:hAnsi="Arial" w:cs="Arial"/>
                <w:color w:val="000000"/>
                <w:sz w:val="18"/>
                <w:szCs w:val="18"/>
                <w:highlight w:val="none"/>
                <w:lang w:val="en-US"/>
              </w:rPr>
            </w:pPr>
            <w:r>
              <w:rPr>
                <w:rFonts w:ascii="Arial" w:hAnsi="Arial" w:cs="Arial"/>
                <w:color w:val="000000"/>
                <w:sz w:val="18"/>
                <w:szCs w:val="18"/>
                <w:highlight w:val="none"/>
                <w:lang w:val="en-US"/>
              </w:rPr>
              <w:t>Residual</w:t>
            </w:r>
          </w:p>
        </w:tc>
        <w:tc>
          <w:tcPr>
            <w:tcW w:w="1469" w:type="dxa"/>
            <w:tcBorders>
              <w:top w:val="nil"/>
              <w:left w:val="single" w:color="000000" w:sz="18" w:space="0"/>
              <w:bottom w:val="nil"/>
              <w:right w:val="single" w:color="000000" w:sz="8" w:space="0"/>
            </w:tcBorders>
            <w:shd w:val="clear" w:color="auto" w:fill="FFFFFF"/>
          </w:tcPr>
          <w:p w14:paraId="7A524B2D">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1695307.279</w:t>
            </w:r>
          </w:p>
        </w:tc>
        <w:tc>
          <w:tcPr>
            <w:tcW w:w="1009" w:type="dxa"/>
            <w:tcBorders>
              <w:top w:val="nil"/>
              <w:left w:val="single" w:color="000000" w:sz="8" w:space="0"/>
              <w:bottom w:val="nil"/>
              <w:right w:val="single" w:color="000000" w:sz="8" w:space="0"/>
            </w:tcBorders>
            <w:shd w:val="clear" w:color="auto" w:fill="FFFFFF"/>
          </w:tcPr>
          <w:p w14:paraId="2797F6A2">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4215</w:t>
            </w:r>
          </w:p>
        </w:tc>
        <w:tc>
          <w:tcPr>
            <w:tcW w:w="1393" w:type="dxa"/>
            <w:tcBorders>
              <w:top w:val="nil"/>
              <w:left w:val="single" w:color="000000" w:sz="8" w:space="0"/>
              <w:bottom w:val="nil"/>
              <w:right w:val="single" w:color="000000" w:sz="8" w:space="0"/>
            </w:tcBorders>
            <w:shd w:val="clear" w:color="auto" w:fill="FFFFFF"/>
          </w:tcPr>
          <w:p w14:paraId="53A9B478">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402.208</w:t>
            </w:r>
          </w:p>
        </w:tc>
        <w:tc>
          <w:tcPr>
            <w:tcW w:w="1316" w:type="dxa"/>
            <w:tcBorders>
              <w:top w:val="nil"/>
              <w:left w:val="single" w:color="000000" w:sz="8" w:space="0"/>
              <w:bottom w:val="nil"/>
              <w:right w:val="single" w:color="000000" w:sz="8" w:space="0"/>
            </w:tcBorders>
            <w:shd w:val="clear" w:color="auto" w:fill="FFFFFF"/>
          </w:tcPr>
          <w:p w14:paraId="7BB6CC29">
            <w:pPr>
              <w:autoSpaceDE w:val="0"/>
              <w:autoSpaceDN w:val="0"/>
              <w:adjustRightInd w:val="0"/>
              <w:spacing w:after="0" w:line="240" w:lineRule="auto"/>
              <w:jc w:val="left"/>
              <w:rPr>
                <w:rFonts w:cs="Times New Roman"/>
                <w:szCs w:val="24"/>
                <w:highlight w:val="none"/>
                <w:lang w:val="en-US"/>
              </w:rPr>
            </w:pPr>
          </w:p>
        </w:tc>
        <w:tc>
          <w:tcPr>
            <w:tcW w:w="1009" w:type="dxa"/>
            <w:tcBorders>
              <w:top w:val="nil"/>
              <w:left w:val="single" w:color="000000" w:sz="8" w:space="0"/>
              <w:bottom w:val="nil"/>
              <w:right w:val="single" w:color="000000" w:sz="18" w:space="0"/>
            </w:tcBorders>
            <w:shd w:val="clear" w:color="auto" w:fill="FFFFFF"/>
          </w:tcPr>
          <w:p w14:paraId="49183914">
            <w:pPr>
              <w:autoSpaceDE w:val="0"/>
              <w:autoSpaceDN w:val="0"/>
              <w:adjustRightInd w:val="0"/>
              <w:spacing w:after="0" w:line="240" w:lineRule="auto"/>
              <w:jc w:val="left"/>
              <w:rPr>
                <w:rFonts w:cs="Times New Roman"/>
                <w:szCs w:val="24"/>
                <w:highlight w:val="none"/>
                <w:lang w:val="en-US"/>
              </w:rPr>
            </w:pPr>
          </w:p>
        </w:tc>
      </w:tr>
      <w:tr w14:paraId="69A470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jc w:val="center"/>
        </w:trPr>
        <w:tc>
          <w:tcPr>
            <w:tcW w:w="9163" w:type="dxa"/>
            <w:vMerge w:val="continue"/>
            <w:tcBorders>
              <w:top w:val="nil"/>
              <w:left w:val="single" w:color="000000" w:sz="18" w:space="0"/>
              <w:bottom w:val="nil"/>
              <w:right w:val="nil"/>
            </w:tcBorders>
            <w:vAlign w:val="center"/>
          </w:tcPr>
          <w:p w14:paraId="659CB7BE">
            <w:pPr>
              <w:spacing w:after="0" w:line="256" w:lineRule="auto"/>
              <w:jc w:val="left"/>
              <w:rPr>
                <w:rFonts w:ascii="Arial" w:hAnsi="Arial" w:cs="Arial"/>
                <w:color w:val="000000"/>
                <w:sz w:val="18"/>
                <w:szCs w:val="18"/>
                <w:highlight w:val="none"/>
                <w:lang w:val="en-US"/>
              </w:rPr>
            </w:pPr>
          </w:p>
        </w:tc>
        <w:tc>
          <w:tcPr>
            <w:tcW w:w="1530" w:type="dxa"/>
            <w:tcBorders>
              <w:top w:val="nil"/>
              <w:left w:val="nil"/>
              <w:bottom w:val="nil"/>
              <w:right w:val="single" w:color="000000" w:sz="18" w:space="0"/>
            </w:tcBorders>
            <w:shd w:val="clear" w:color="auto" w:fill="FFFFFF"/>
            <w:vAlign w:val="center"/>
          </w:tcPr>
          <w:p w14:paraId="76D1970E">
            <w:pPr>
              <w:autoSpaceDE w:val="0"/>
              <w:autoSpaceDN w:val="0"/>
              <w:adjustRightInd w:val="0"/>
              <w:spacing w:after="0" w:line="320" w:lineRule="atLeast"/>
              <w:ind w:left="60" w:right="60"/>
              <w:jc w:val="left"/>
              <w:rPr>
                <w:rFonts w:ascii="Arial" w:hAnsi="Arial" w:cs="Arial"/>
                <w:color w:val="000000"/>
                <w:sz w:val="18"/>
                <w:szCs w:val="18"/>
                <w:highlight w:val="none"/>
                <w:lang w:val="en-US"/>
              </w:rPr>
            </w:pPr>
            <w:r>
              <w:rPr>
                <w:rFonts w:ascii="Arial" w:hAnsi="Arial" w:cs="Arial"/>
                <w:color w:val="000000"/>
                <w:sz w:val="18"/>
                <w:szCs w:val="18"/>
                <w:highlight w:val="none"/>
                <w:lang w:val="en-US"/>
              </w:rPr>
              <w:t>Total</w:t>
            </w:r>
          </w:p>
        </w:tc>
        <w:tc>
          <w:tcPr>
            <w:tcW w:w="1469" w:type="dxa"/>
            <w:tcBorders>
              <w:top w:val="nil"/>
              <w:left w:val="single" w:color="000000" w:sz="18" w:space="0"/>
              <w:bottom w:val="nil"/>
              <w:right w:val="single" w:color="000000" w:sz="8" w:space="0"/>
            </w:tcBorders>
            <w:shd w:val="clear" w:color="auto" w:fill="FFFFFF"/>
          </w:tcPr>
          <w:p w14:paraId="5B2D32C5">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6758492.250</w:t>
            </w:r>
          </w:p>
        </w:tc>
        <w:tc>
          <w:tcPr>
            <w:tcW w:w="1009" w:type="dxa"/>
            <w:tcBorders>
              <w:top w:val="nil"/>
              <w:left w:val="single" w:color="000000" w:sz="8" w:space="0"/>
              <w:bottom w:val="nil"/>
              <w:right w:val="single" w:color="000000" w:sz="8" w:space="0"/>
            </w:tcBorders>
            <w:shd w:val="clear" w:color="auto" w:fill="FFFFFF"/>
          </w:tcPr>
          <w:p w14:paraId="01534B30">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4230</w:t>
            </w:r>
          </w:p>
        </w:tc>
        <w:tc>
          <w:tcPr>
            <w:tcW w:w="1393" w:type="dxa"/>
            <w:tcBorders>
              <w:top w:val="nil"/>
              <w:left w:val="single" w:color="000000" w:sz="8" w:space="0"/>
              <w:bottom w:val="nil"/>
              <w:right w:val="single" w:color="000000" w:sz="8" w:space="0"/>
            </w:tcBorders>
            <w:shd w:val="clear" w:color="auto" w:fill="FFFFFF"/>
          </w:tcPr>
          <w:p w14:paraId="189FAA40">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1597.752</w:t>
            </w:r>
          </w:p>
        </w:tc>
        <w:tc>
          <w:tcPr>
            <w:tcW w:w="1316" w:type="dxa"/>
            <w:tcBorders>
              <w:top w:val="nil"/>
              <w:left w:val="single" w:color="000000" w:sz="8" w:space="0"/>
              <w:bottom w:val="nil"/>
              <w:right w:val="single" w:color="000000" w:sz="8" w:space="0"/>
            </w:tcBorders>
            <w:shd w:val="clear" w:color="auto" w:fill="FFFFFF"/>
          </w:tcPr>
          <w:p w14:paraId="0F2B199D">
            <w:pPr>
              <w:autoSpaceDE w:val="0"/>
              <w:autoSpaceDN w:val="0"/>
              <w:adjustRightInd w:val="0"/>
              <w:spacing w:after="0" w:line="240" w:lineRule="auto"/>
              <w:jc w:val="left"/>
              <w:rPr>
                <w:rFonts w:cs="Times New Roman"/>
                <w:szCs w:val="24"/>
                <w:highlight w:val="none"/>
                <w:lang w:val="en-US"/>
              </w:rPr>
            </w:pPr>
          </w:p>
        </w:tc>
        <w:tc>
          <w:tcPr>
            <w:tcW w:w="1009" w:type="dxa"/>
            <w:tcBorders>
              <w:top w:val="nil"/>
              <w:left w:val="single" w:color="000000" w:sz="8" w:space="0"/>
              <w:bottom w:val="nil"/>
              <w:right w:val="single" w:color="000000" w:sz="18" w:space="0"/>
            </w:tcBorders>
            <w:shd w:val="clear" w:color="auto" w:fill="FFFFFF"/>
          </w:tcPr>
          <w:p w14:paraId="29A6263C">
            <w:pPr>
              <w:autoSpaceDE w:val="0"/>
              <w:autoSpaceDN w:val="0"/>
              <w:adjustRightInd w:val="0"/>
              <w:spacing w:after="0" w:line="240" w:lineRule="auto"/>
              <w:jc w:val="left"/>
              <w:rPr>
                <w:rFonts w:cs="Times New Roman"/>
                <w:szCs w:val="24"/>
                <w:highlight w:val="none"/>
                <w:lang w:val="en-US"/>
              </w:rPr>
            </w:pPr>
          </w:p>
        </w:tc>
      </w:tr>
      <w:tr w14:paraId="1C9486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967" w:type="dxa"/>
            <w:gridSpan w:val="2"/>
            <w:tcBorders>
              <w:top w:val="nil"/>
              <w:left w:val="single" w:color="000000" w:sz="18" w:space="0"/>
              <w:bottom w:val="single" w:color="000000" w:sz="18" w:space="0"/>
              <w:right w:val="nil"/>
            </w:tcBorders>
            <w:shd w:val="clear" w:color="auto" w:fill="FFFFFF"/>
            <w:vAlign w:val="center"/>
          </w:tcPr>
          <w:p w14:paraId="24F9E5FF">
            <w:pPr>
              <w:autoSpaceDE w:val="0"/>
              <w:autoSpaceDN w:val="0"/>
              <w:adjustRightInd w:val="0"/>
              <w:spacing w:after="0" w:line="320" w:lineRule="atLeast"/>
              <w:ind w:left="60" w:right="60"/>
              <w:jc w:val="left"/>
              <w:rPr>
                <w:rFonts w:ascii="Arial" w:hAnsi="Arial" w:cs="Arial"/>
                <w:color w:val="000000"/>
                <w:sz w:val="18"/>
                <w:szCs w:val="18"/>
                <w:highlight w:val="none"/>
                <w:lang w:val="en-US"/>
              </w:rPr>
            </w:pPr>
            <w:r>
              <w:rPr>
                <w:rFonts w:ascii="Arial" w:hAnsi="Arial" w:cs="Arial"/>
                <w:color w:val="000000"/>
                <w:sz w:val="18"/>
                <w:szCs w:val="18"/>
                <w:highlight w:val="none"/>
                <w:lang w:val="en-US"/>
              </w:rPr>
              <w:t>Total</w:t>
            </w:r>
          </w:p>
        </w:tc>
        <w:tc>
          <w:tcPr>
            <w:tcW w:w="1469" w:type="dxa"/>
            <w:tcBorders>
              <w:top w:val="nil"/>
              <w:left w:val="single" w:color="000000" w:sz="18" w:space="0"/>
              <w:bottom w:val="single" w:color="000000" w:sz="18" w:space="0"/>
              <w:right w:val="single" w:color="000000" w:sz="8" w:space="0"/>
            </w:tcBorders>
            <w:shd w:val="clear" w:color="auto" w:fill="FFFFFF"/>
          </w:tcPr>
          <w:p w14:paraId="1C8291E0">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6881071.914</w:t>
            </w:r>
          </w:p>
        </w:tc>
        <w:tc>
          <w:tcPr>
            <w:tcW w:w="1009" w:type="dxa"/>
            <w:tcBorders>
              <w:top w:val="nil"/>
              <w:left w:val="single" w:color="000000" w:sz="8" w:space="0"/>
              <w:bottom w:val="single" w:color="000000" w:sz="18" w:space="0"/>
              <w:right w:val="single" w:color="000000" w:sz="8" w:space="0"/>
            </w:tcBorders>
            <w:shd w:val="clear" w:color="auto" w:fill="FFFFFF"/>
          </w:tcPr>
          <w:p w14:paraId="28BB7E26">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4511</w:t>
            </w:r>
          </w:p>
        </w:tc>
        <w:tc>
          <w:tcPr>
            <w:tcW w:w="1393" w:type="dxa"/>
            <w:tcBorders>
              <w:top w:val="nil"/>
              <w:left w:val="single" w:color="000000" w:sz="8" w:space="0"/>
              <w:bottom w:val="single" w:color="000000" w:sz="18" w:space="0"/>
              <w:right w:val="single" w:color="000000" w:sz="8" w:space="0"/>
            </w:tcBorders>
            <w:shd w:val="clear" w:color="auto" w:fill="FFFFFF"/>
          </w:tcPr>
          <w:p w14:paraId="4000E24F">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1525.398</w:t>
            </w:r>
          </w:p>
        </w:tc>
        <w:tc>
          <w:tcPr>
            <w:tcW w:w="1316" w:type="dxa"/>
            <w:tcBorders>
              <w:top w:val="nil"/>
              <w:left w:val="single" w:color="000000" w:sz="8" w:space="0"/>
              <w:bottom w:val="single" w:color="000000" w:sz="18" w:space="0"/>
              <w:right w:val="single" w:color="000000" w:sz="8" w:space="0"/>
            </w:tcBorders>
            <w:shd w:val="clear" w:color="auto" w:fill="FFFFFF"/>
          </w:tcPr>
          <w:p w14:paraId="3FEA495A">
            <w:pPr>
              <w:autoSpaceDE w:val="0"/>
              <w:autoSpaceDN w:val="0"/>
              <w:adjustRightInd w:val="0"/>
              <w:spacing w:after="0" w:line="240" w:lineRule="auto"/>
              <w:jc w:val="left"/>
              <w:rPr>
                <w:rFonts w:cs="Times New Roman"/>
                <w:szCs w:val="24"/>
                <w:highlight w:val="none"/>
                <w:lang w:val="en-US"/>
              </w:rPr>
            </w:pPr>
          </w:p>
        </w:tc>
        <w:tc>
          <w:tcPr>
            <w:tcW w:w="1009" w:type="dxa"/>
            <w:tcBorders>
              <w:top w:val="nil"/>
              <w:left w:val="single" w:color="000000" w:sz="8" w:space="0"/>
              <w:bottom w:val="single" w:color="000000" w:sz="18" w:space="0"/>
              <w:right w:val="single" w:color="000000" w:sz="18" w:space="0"/>
            </w:tcBorders>
            <w:shd w:val="clear" w:color="auto" w:fill="FFFFFF"/>
          </w:tcPr>
          <w:p w14:paraId="58623414">
            <w:pPr>
              <w:autoSpaceDE w:val="0"/>
              <w:autoSpaceDN w:val="0"/>
              <w:adjustRightInd w:val="0"/>
              <w:spacing w:after="0" w:line="240" w:lineRule="auto"/>
              <w:jc w:val="left"/>
              <w:rPr>
                <w:rFonts w:cs="Times New Roman"/>
                <w:szCs w:val="24"/>
                <w:highlight w:val="none"/>
                <w:lang w:val="en-US"/>
              </w:rPr>
            </w:pPr>
          </w:p>
        </w:tc>
      </w:tr>
      <w:tr w14:paraId="051BB5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9163" w:type="dxa"/>
            <w:gridSpan w:val="7"/>
            <w:tcBorders>
              <w:top w:val="nil"/>
              <w:left w:val="nil"/>
              <w:bottom w:val="nil"/>
              <w:right w:val="nil"/>
            </w:tcBorders>
            <w:shd w:val="clear" w:color="auto" w:fill="FFFFFF"/>
            <w:vAlign w:val="center"/>
          </w:tcPr>
          <w:p w14:paraId="7D98E6A1">
            <w:pPr>
              <w:autoSpaceDE w:val="0"/>
              <w:autoSpaceDN w:val="0"/>
              <w:adjustRightInd w:val="0"/>
              <w:spacing w:after="0" w:line="320" w:lineRule="atLeast"/>
              <w:ind w:left="60" w:right="60"/>
              <w:jc w:val="left"/>
              <w:rPr>
                <w:rFonts w:ascii="Arial" w:hAnsi="Arial" w:cs="Arial"/>
                <w:color w:val="000000"/>
                <w:sz w:val="18"/>
                <w:szCs w:val="18"/>
                <w:highlight w:val="none"/>
                <w:lang w:val="en-US"/>
              </w:rPr>
            </w:pPr>
            <w:r>
              <w:rPr>
                <w:rFonts w:ascii="Arial" w:hAnsi="Arial" w:cs="Arial"/>
                <w:color w:val="000000"/>
                <w:sz w:val="18"/>
                <w:szCs w:val="18"/>
                <w:highlight w:val="none"/>
                <w:lang w:val="en-US"/>
              </w:rPr>
              <w:t>Grand Mean = 11.78</w:t>
            </w:r>
          </w:p>
        </w:tc>
      </w:tr>
    </w:tbl>
    <w:p w14:paraId="786A69A3">
      <w:pPr>
        <w:autoSpaceDE w:val="0"/>
        <w:autoSpaceDN w:val="0"/>
        <w:adjustRightInd w:val="0"/>
        <w:spacing w:after="0" w:line="240" w:lineRule="auto"/>
        <w:jc w:val="left"/>
        <w:rPr>
          <w:rFonts w:cs="Times New Roman"/>
          <w:szCs w:val="24"/>
          <w:highlight w:val="none"/>
          <w:lang w:val="en-US"/>
        </w:rPr>
      </w:pPr>
    </w:p>
    <w:p w14:paraId="340F2C31">
      <w:pPr>
        <w:autoSpaceDE w:val="0"/>
        <w:autoSpaceDN w:val="0"/>
        <w:adjustRightInd w:val="0"/>
        <w:spacing w:after="0" w:line="240" w:lineRule="auto"/>
        <w:jc w:val="left"/>
        <w:rPr>
          <w:rFonts w:cs="Times New Roman"/>
          <w:szCs w:val="24"/>
          <w:highlight w:val="none"/>
          <w:lang w:val="en-US"/>
        </w:rPr>
      </w:pPr>
      <w:r>
        <w:rPr>
          <w:rFonts w:cs="Times New Roman"/>
          <w:szCs w:val="24"/>
          <w:highlight w:val="none"/>
          <w:lang w:val="en-US"/>
        </w:rPr>
        <w:t xml:space="preserve">Descriptive statistics has been summarising the data that could represent the whole data set. </w:t>
      </w:r>
    </w:p>
    <w:tbl>
      <w:tblPr>
        <w:tblStyle w:val="12"/>
        <w:tblW w:w="928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84"/>
        <w:gridCol w:w="995"/>
        <w:gridCol w:w="1055"/>
        <w:gridCol w:w="1086"/>
        <w:gridCol w:w="994"/>
        <w:gridCol w:w="1422"/>
        <w:gridCol w:w="994"/>
        <w:gridCol w:w="1055"/>
      </w:tblGrid>
      <w:tr w14:paraId="6B573F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9282" w:type="dxa"/>
            <w:gridSpan w:val="8"/>
            <w:tcBorders>
              <w:top w:val="nil"/>
              <w:left w:val="nil"/>
              <w:bottom w:val="nil"/>
              <w:right w:val="nil"/>
            </w:tcBorders>
            <w:shd w:val="clear" w:color="auto" w:fill="FFFFFF"/>
          </w:tcPr>
          <w:p w14:paraId="3EEEBD3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b/>
                <w:bCs/>
                <w:color w:val="000000"/>
                <w:sz w:val="18"/>
                <w:szCs w:val="18"/>
                <w:highlight w:val="none"/>
                <w:lang w:val="en-US"/>
              </w:rPr>
              <w:t>Descriptive Statistics</w:t>
            </w:r>
          </w:p>
        </w:tc>
      </w:tr>
      <w:tr w14:paraId="0D9D17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682" w:type="dxa"/>
            <w:vMerge w:val="restart"/>
            <w:tcBorders>
              <w:top w:val="single" w:color="000000" w:sz="18" w:space="0"/>
              <w:left w:val="single" w:color="000000" w:sz="18" w:space="0"/>
              <w:bottom w:val="nil"/>
              <w:right w:val="single" w:color="000000" w:sz="18" w:space="0"/>
            </w:tcBorders>
            <w:shd w:val="clear" w:color="auto" w:fill="FFFFFF"/>
          </w:tcPr>
          <w:p w14:paraId="69FFB652">
            <w:pPr>
              <w:autoSpaceDE w:val="0"/>
              <w:autoSpaceDN w:val="0"/>
              <w:adjustRightInd w:val="0"/>
              <w:spacing w:after="0" w:line="240" w:lineRule="auto"/>
              <w:jc w:val="left"/>
              <w:rPr>
                <w:rFonts w:cs="Times New Roman"/>
                <w:szCs w:val="24"/>
                <w:highlight w:val="none"/>
                <w:lang w:val="en-US"/>
              </w:rPr>
            </w:pPr>
          </w:p>
        </w:tc>
        <w:tc>
          <w:tcPr>
            <w:tcW w:w="994" w:type="dxa"/>
            <w:tcBorders>
              <w:top w:val="single" w:color="000000" w:sz="18" w:space="0"/>
              <w:left w:val="single" w:color="000000" w:sz="18" w:space="0"/>
              <w:bottom w:val="single" w:color="000000" w:sz="8" w:space="0"/>
              <w:right w:val="single" w:color="000000" w:sz="8" w:space="0"/>
            </w:tcBorders>
            <w:shd w:val="clear" w:color="auto" w:fill="FFFFFF"/>
          </w:tcPr>
          <w:p w14:paraId="452E045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N</w:t>
            </w:r>
          </w:p>
        </w:tc>
        <w:tc>
          <w:tcPr>
            <w:tcW w:w="1055" w:type="dxa"/>
            <w:tcBorders>
              <w:top w:val="single" w:color="000000" w:sz="18" w:space="0"/>
              <w:left w:val="single" w:color="000000" w:sz="8" w:space="0"/>
              <w:bottom w:val="single" w:color="000000" w:sz="8" w:space="0"/>
              <w:right w:val="single" w:color="000000" w:sz="8" w:space="0"/>
            </w:tcBorders>
            <w:shd w:val="clear" w:color="auto" w:fill="FFFFFF"/>
          </w:tcPr>
          <w:p w14:paraId="464280A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Minimum</w:t>
            </w:r>
          </w:p>
        </w:tc>
        <w:tc>
          <w:tcPr>
            <w:tcW w:w="1086" w:type="dxa"/>
            <w:tcBorders>
              <w:top w:val="single" w:color="000000" w:sz="18" w:space="0"/>
              <w:left w:val="single" w:color="000000" w:sz="8" w:space="0"/>
              <w:bottom w:val="single" w:color="000000" w:sz="8" w:space="0"/>
              <w:right w:val="single" w:color="000000" w:sz="8" w:space="0"/>
            </w:tcBorders>
            <w:shd w:val="clear" w:color="auto" w:fill="FFFFFF"/>
          </w:tcPr>
          <w:p w14:paraId="6DC9130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Maximum</w:t>
            </w:r>
          </w:p>
        </w:tc>
        <w:tc>
          <w:tcPr>
            <w:tcW w:w="994" w:type="dxa"/>
            <w:tcBorders>
              <w:top w:val="single" w:color="000000" w:sz="18" w:space="0"/>
              <w:left w:val="single" w:color="000000" w:sz="8" w:space="0"/>
              <w:bottom w:val="single" w:color="000000" w:sz="8" w:space="0"/>
              <w:right w:val="single" w:color="000000" w:sz="8" w:space="0"/>
            </w:tcBorders>
            <w:shd w:val="clear" w:color="auto" w:fill="FFFFFF"/>
          </w:tcPr>
          <w:p w14:paraId="6101D0B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Mean</w:t>
            </w:r>
          </w:p>
        </w:tc>
        <w:tc>
          <w:tcPr>
            <w:tcW w:w="1422" w:type="dxa"/>
            <w:tcBorders>
              <w:top w:val="single" w:color="000000" w:sz="18" w:space="0"/>
              <w:left w:val="single" w:color="000000" w:sz="8" w:space="0"/>
              <w:bottom w:val="single" w:color="000000" w:sz="8" w:space="0"/>
              <w:right w:val="single" w:color="000000" w:sz="8" w:space="0"/>
            </w:tcBorders>
            <w:shd w:val="clear" w:color="auto" w:fill="FFFFFF"/>
          </w:tcPr>
          <w:p w14:paraId="69C6148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Std. Deviation</w:t>
            </w:r>
          </w:p>
        </w:tc>
        <w:tc>
          <w:tcPr>
            <w:tcW w:w="2049" w:type="dxa"/>
            <w:gridSpan w:val="2"/>
            <w:tcBorders>
              <w:top w:val="single" w:color="000000" w:sz="18" w:space="0"/>
              <w:left w:val="single" w:color="000000" w:sz="8" w:space="0"/>
              <w:bottom w:val="single" w:color="000000" w:sz="8" w:space="0"/>
              <w:right w:val="single" w:color="000000" w:sz="8" w:space="0"/>
            </w:tcBorders>
            <w:shd w:val="clear" w:color="auto" w:fill="FFFFFF"/>
          </w:tcPr>
          <w:p w14:paraId="2384C28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Kurtosis</w:t>
            </w:r>
          </w:p>
        </w:tc>
      </w:tr>
      <w:tr w14:paraId="3EFD8F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9282" w:type="dxa"/>
            <w:vMerge w:val="continue"/>
            <w:tcBorders>
              <w:top w:val="single" w:color="000000" w:sz="18" w:space="0"/>
              <w:left w:val="single" w:color="000000" w:sz="18" w:space="0"/>
              <w:bottom w:val="nil"/>
              <w:right w:val="single" w:color="000000" w:sz="18" w:space="0"/>
            </w:tcBorders>
            <w:vAlign w:val="center"/>
          </w:tcPr>
          <w:p w14:paraId="5CE7B4E2">
            <w:pPr>
              <w:spacing w:after="0" w:line="256" w:lineRule="auto"/>
              <w:jc w:val="left"/>
              <w:rPr>
                <w:rFonts w:cs="Times New Roman"/>
                <w:szCs w:val="24"/>
                <w:highlight w:val="none"/>
                <w:lang w:val="en-US"/>
              </w:rPr>
            </w:pPr>
          </w:p>
        </w:tc>
        <w:tc>
          <w:tcPr>
            <w:tcW w:w="994" w:type="dxa"/>
            <w:tcBorders>
              <w:top w:val="single" w:color="000000" w:sz="8" w:space="0"/>
              <w:left w:val="single" w:color="000000" w:sz="18" w:space="0"/>
              <w:bottom w:val="single" w:color="000000" w:sz="18" w:space="0"/>
              <w:right w:val="single" w:color="000000" w:sz="8" w:space="0"/>
            </w:tcBorders>
            <w:shd w:val="clear" w:color="auto" w:fill="FFFFFF"/>
          </w:tcPr>
          <w:p w14:paraId="7E64E7C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Statistic</w:t>
            </w:r>
          </w:p>
        </w:tc>
        <w:tc>
          <w:tcPr>
            <w:tcW w:w="1055" w:type="dxa"/>
            <w:tcBorders>
              <w:top w:val="single" w:color="000000" w:sz="8" w:space="0"/>
              <w:left w:val="single" w:color="000000" w:sz="8" w:space="0"/>
              <w:bottom w:val="single" w:color="000000" w:sz="18" w:space="0"/>
              <w:right w:val="single" w:color="000000" w:sz="8" w:space="0"/>
            </w:tcBorders>
            <w:shd w:val="clear" w:color="auto" w:fill="FFFFFF"/>
          </w:tcPr>
          <w:p w14:paraId="7570983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Statistic</w:t>
            </w:r>
          </w:p>
        </w:tc>
        <w:tc>
          <w:tcPr>
            <w:tcW w:w="1086" w:type="dxa"/>
            <w:tcBorders>
              <w:top w:val="single" w:color="000000" w:sz="8" w:space="0"/>
              <w:left w:val="single" w:color="000000" w:sz="8" w:space="0"/>
              <w:bottom w:val="single" w:color="000000" w:sz="18" w:space="0"/>
              <w:right w:val="single" w:color="000000" w:sz="8" w:space="0"/>
            </w:tcBorders>
            <w:shd w:val="clear" w:color="auto" w:fill="FFFFFF"/>
          </w:tcPr>
          <w:p w14:paraId="1BF9AD3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Statistic</w:t>
            </w:r>
          </w:p>
        </w:tc>
        <w:tc>
          <w:tcPr>
            <w:tcW w:w="994" w:type="dxa"/>
            <w:tcBorders>
              <w:top w:val="single" w:color="000000" w:sz="8" w:space="0"/>
              <w:left w:val="single" w:color="000000" w:sz="8" w:space="0"/>
              <w:bottom w:val="single" w:color="000000" w:sz="18" w:space="0"/>
              <w:right w:val="single" w:color="000000" w:sz="8" w:space="0"/>
            </w:tcBorders>
            <w:shd w:val="clear" w:color="auto" w:fill="FFFFFF"/>
          </w:tcPr>
          <w:p w14:paraId="49A5C61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Statistic</w:t>
            </w:r>
          </w:p>
        </w:tc>
        <w:tc>
          <w:tcPr>
            <w:tcW w:w="1422" w:type="dxa"/>
            <w:tcBorders>
              <w:top w:val="single" w:color="000000" w:sz="8" w:space="0"/>
              <w:left w:val="single" w:color="000000" w:sz="8" w:space="0"/>
              <w:bottom w:val="single" w:color="000000" w:sz="18" w:space="0"/>
              <w:right w:val="single" w:color="000000" w:sz="8" w:space="0"/>
            </w:tcBorders>
            <w:shd w:val="clear" w:color="auto" w:fill="FFFFFF"/>
          </w:tcPr>
          <w:p w14:paraId="16C66C1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Statistic</w:t>
            </w:r>
          </w:p>
        </w:tc>
        <w:tc>
          <w:tcPr>
            <w:tcW w:w="994" w:type="dxa"/>
            <w:tcBorders>
              <w:top w:val="single" w:color="000000" w:sz="8" w:space="0"/>
              <w:left w:val="single" w:color="000000" w:sz="8" w:space="0"/>
              <w:bottom w:val="single" w:color="000000" w:sz="18" w:space="0"/>
              <w:right w:val="single" w:color="000000" w:sz="8" w:space="0"/>
            </w:tcBorders>
            <w:shd w:val="clear" w:color="auto" w:fill="FFFFFF"/>
          </w:tcPr>
          <w:p w14:paraId="7A4F00D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Statistic</w:t>
            </w:r>
          </w:p>
        </w:tc>
        <w:tc>
          <w:tcPr>
            <w:tcW w:w="1055" w:type="dxa"/>
            <w:tcBorders>
              <w:top w:val="single" w:color="000000" w:sz="8" w:space="0"/>
              <w:left w:val="single" w:color="000000" w:sz="8" w:space="0"/>
              <w:bottom w:val="single" w:color="000000" w:sz="18" w:space="0"/>
              <w:right w:val="single" w:color="000000" w:sz="18" w:space="0"/>
            </w:tcBorders>
            <w:shd w:val="clear" w:color="auto" w:fill="FFFFFF"/>
          </w:tcPr>
          <w:p w14:paraId="6E4870F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Std. Error</w:t>
            </w:r>
          </w:p>
        </w:tc>
      </w:tr>
      <w:tr w14:paraId="104D90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682" w:type="dxa"/>
            <w:tcBorders>
              <w:top w:val="single" w:color="000000" w:sz="18" w:space="0"/>
              <w:left w:val="single" w:color="000000" w:sz="18" w:space="0"/>
              <w:bottom w:val="nil"/>
              <w:right w:val="single" w:color="000000" w:sz="18" w:space="0"/>
            </w:tcBorders>
            <w:shd w:val="clear" w:color="auto" w:fill="FFFFFF"/>
            <w:vAlign w:val="center"/>
          </w:tcPr>
          <w:p w14:paraId="2BD9FDB8">
            <w:pPr>
              <w:autoSpaceDE w:val="0"/>
              <w:autoSpaceDN w:val="0"/>
              <w:adjustRightInd w:val="0"/>
              <w:spacing w:after="0" w:line="320" w:lineRule="atLeast"/>
              <w:ind w:left="60" w:right="60"/>
              <w:jc w:val="left"/>
              <w:rPr>
                <w:rFonts w:ascii="Arial" w:hAnsi="Arial" w:cs="Arial"/>
                <w:color w:val="000000"/>
                <w:sz w:val="18"/>
                <w:szCs w:val="18"/>
                <w:highlight w:val="none"/>
                <w:lang w:val="en-US"/>
              </w:rPr>
            </w:pPr>
            <w:r>
              <w:rPr>
                <w:rFonts w:ascii="Arial" w:hAnsi="Arial" w:cs="Arial"/>
                <w:color w:val="000000"/>
                <w:sz w:val="18"/>
                <w:szCs w:val="18"/>
                <w:highlight w:val="none"/>
                <w:lang w:val="en-US"/>
              </w:rPr>
              <w:t>Q1.</w:t>
            </w:r>
          </w:p>
        </w:tc>
        <w:tc>
          <w:tcPr>
            <w:tcW w:w="994" w:type="dxa"/>
            <w:tcBorders>
              <w:top w:val="single" w:color="000000" w:sz="18" w:space="0"/>
              <w:left w:val="single" w:color="000000" w:sz="18" w:space="0"/>
              <w:bottom w:val="nil"/>
              <w:right w:val="single" w:color="000000" w:sz="8" w:space="0"/>
            </w:tcBorders>
            <w:shd w:val="clear" w:color="auto" w:fill="FFFFFF"/>
          </w:tcPr>
          <w:p w14:paraId="4226645F">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1055" w:type="dxa"/>
            <w:tcBorders>
              <w:top w:val="single" w:color="000000" w:sz="18" w:space="0"/>
              <w:left w:val="single" w:color="000000" w:sz="8" w:space="0"/>
              <w:bottom w:val="nil"/>
              <w:right w:val="single" w:color="000000" w:sz="8" w:space="0"/>
            </w:tcBorders>
            <w:shd w:val="clear" w:color="auto" w:fill="FFFFFF"/>
          </w:tcPr>
          <w:p w14:paraId="70197E06">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w:t>
            </w:r>
          </w:p>
        </w:tc>
        <w:tc>
          <w:tcPr>
            <w:tcW w:w="1086" w:type="dxa"/>
            <w:tcBorders>
              <w:top w:val="single" w:color="000000" w:sz="18" w:space="0"/>
              <w:left w:val="single" w:color="000000" w:sz="8" w:space="0"/>
              <w:bottom w:val="nil"/>
              <w:right w:val="single" w:color="000000" w:sz="8" w:space="0"/>
            </w:tcBorders>
            <w:shd w:val="clear" w:color="auto" w:fill="FFFFFF"/>
          </w:tcPr>
          <w:p w14:paraId="24F5482B">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4</w:t>
            </w:r>
          </w:p>
        </w:tc>
        <w:tc>
          <w:tcPr>
            <w:tcW w:w="994" w:type="dxa"/>
            <w:tcBorders>
              <w:top w:val="single" w:color="000000" w:sz="18" w:space="0"/>
              <w:left w:val="single" w:color="000000" w:sz="8" w:space="0"/>
              <w:bottom w:val="nil"/>
              <w:right w:val="single" w:color="000000" w:sz="8" w:space="0"/>
            </w:tcBorders>
            <w:shd w:val="clear" w:color="auto" w:fill="FFFFFF"/>
          </w:tcPr>
          <w:p w14:paraId="2F2F75E8">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2.65</w:t>
            </w:r>
          </w:p>
        </w:tc>
        <w:tc>
          <w:tcPr>
            <w:tcW w:w="1422" w:type="dxa"/>
            <w:tcBorders>
              <w:top w:val="single" w:color="000000" w:sz="18" w:space="0"/>
              <w:left w:val="single" w:color="000000" w:sz="8" w:space="0"/>
              <w:bottom w:val="nil"/>
              <w:right w:val="single" w:color="000000" w:sz="8" w:space="0"/>
            </w:tcBorders>
            <w:shd w:val="clear" w:color="auto" w:fill="FFFFFF"/>
          </w:tcPr>
          <w:p w14:paraId="1F649F36">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1.495</w:t>
            </w:r>
          </w:p>
        </w:tc>
        <w:tc>
          <w:tcPr>
            <w:tcW w:w="994" w:type="dxa"/>
            <w:tcBorders>
              <w:top w:val="single" w:color="000000" w:sz="18" w:space="0"/>
              <w:left w:val="single" w:color="000000" w:sz="8" w:space="0"/>
              <w:bottom w:val="nil"/>
              <w:right w:val="single" w:color="000000" w:sz="8" w:space="0"/>
            </w:tcBorders>
            <w:shd w:val="clear" w:color="auto" w:fill="FFFFFF"/>
          </w:tcPr>
          <w:p w14:paraId="43A749E7">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-1.974</w:t>
            </w:r>
          </w:p>
        </w:tc>
        <w:tc>
          <w:tcPr>
            <w:tcW w:w="1055" w:type="dxa"/>
            <w:tcBorders>
              <w:top w:val="single" w:color="000000" w:sz="18" w:space="0"/>
              <w:left w:val="single" w:color="000000" w:sz="8" w:space="0"/>
              <w:bottom w:val="nil"/>
              <w:right w:val="single" w:color="000000" w:sz="18" w:space="0"/>
            </w:tcBorders>
            <w:shd w:val="clear" w:color="auto" w:fill="FFFFFF"/>
          </w:tcPr>
          <w:p w14:paraId="3A1BB5B0">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.289</w:t>
            </w:r>
          </w:p>
        </w:tc>
      </w:tr>
      <w:tr w14:paraId="0CB6E1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682" w:type="dxa"/>
            <w:tcBorders>
              <w:top w:val="nil"/>
              <w:left w:val="single" w:color="000000" w:sz="18" w:space="0"/>
              <w:bottom w:val="nil"/>
              <w:right w:val="single" w:color="000000" w:sz="18" w:space="0"/>
            </w:tcBorders>
            <w:shd w:val="clear" w:color="auto" w:fill="FFFFFF"/>
            <w:vAlign w:val="center"/>
          </w:tcPr>
          <w:p w14:paraId="650695FA">
            <w:pPr>
              <w:autoSpaceDE w:val="0"/>
              <w:autoSpaceDN w:val="0"/>
              <w:adjustRightInd w:val="0"/>
              <w:spacing w:after="0" w:line="320" w:lineRule="atLeast"/>
              <w:ind w:left="60" w:right="60"/>
              <w:jc w:val="left"/>
              <w:rPr>
                <w:rFonts w:ascii="Arial" w:hAnsi="Arial" w:cs="Arial"/>
                <w:color w:val="000000"/>
                <w:sz w:val="18"/>
                <w:szCs w:val="18"/>
                <w:highlight w:val="none"/>
                <w:lang w:val="en-US"/>
              </w:rPr>
            </w:pPr>
            <w:r>
              <w:rPr>
                <w:rFonts w:ascii="Arial" w:hAnsi="Arial" w:cs="Arial"/>
                <w:color w:val="000000"/>
                <w:sz w:val="18"/>
                <w:szCs w:val="18"/>
                <w:highlight w:val="none"/>
                <w:lang w:val="en-US"/>
              </w:rPr>
              <w:t>Q2.</w:t>
            </w:r>
          </w:p>
        </w:tc>
        <w:tc>
          <w:tcPr>
            <w:tcW w:w="994" w:type="dxa"/>
            <w:tcBorders>
              <w:top w:val="nil"/>
              <w:left w:val="single" w:color="000000" w:sz="18" w:space="0"/>
              <w:bottom w:val="nil"/>
              <w:right w:val="single" w:color="000000" w:sz="8" w:space="0"/>
            </w:tcBorders>
            <w:shd w:val="clear" w:color="auto" w:fill="FFFFFF"/>
          </w:tcPr>
          <w:p w14:paraId="66F63A44">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1055" w:type="dxa"/>
            <w:tcBorders>
              <w:top w:val="nil"/>
              <w:left w:val="single" w:color="000000" w:sz="8" w:space="0"/>
              <w:bottom w:val="nil"/>
              <w:right w:val="single" w:color="000000" w:sz="8" w:space="0"/>
            </w:tcBorders>
            <w:shd w:val="clear" w:color="auto" w:fill="FFFFFF"/>
          </w:tcPr>
          <w:p w14:paraId="6FC6C7F8">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w:t>
            </w:r>
          </w:p>
        </w:tc>
        <w:tc>
          <w:tcPr>
            <w:tcW w:w="1086" w:type="dxa"/>
            <w:tcBorders>
              <w:top w:val="nil"/>
              <w:left w:val="single" w:color="000000" w:sz="8" w:space="0"/>
              <w:bottom w:val="nil"/>
              <w:right w:val="single" w:color="000000" w:sz="8" w:space="0"/>
            </w:tcBorders>
            <w:shd w:val="clear" w:color="auto" w:fill="FFFFFF"/>
          </w:tcPr>
          <w:p w14:paraId="228F49A3">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5</w:t>
            </w:r>
          </w:p>
        </w:tc>
        <w:tc>
          <w:tcPr>
            <w:tcW w:w="994" w:type="dxa"/>
            <w:tcBorders>
              <w:top w:val="nil"/>
              <w:left w:val="single" w:color="000000" w:sz="8" w:space="0"/>
              <w:bottom w:val="nil"/>
              <w:right w:val="single" w:color="000000" w:sz="8" w:space="0"/>
            </w:tcBorders>
            <w:shd w:val="clear" w:color="auto" w:fill="FFFFFF"/>
          </w:tcPr>
          <w:p w14:paraId="297D02C7">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3.63</w:t>
            </w:r>
          </w:p>
        </w:tc>
        <w:tc>
          <w:tcPr>
            <w:tcW w:w="1422" w:type="dxa"/>
            <w:tcBorders>
              <w:top w:val="nil"/>
              <w:left w:val="single" w:color="000000" w:sz="8" w:space="0"/>
              <w:bottom w:val="nil"/>
              <w:right w:val="single" w:color="000000" w:sz="8" w:space="0"/>
            </w:tcBorders>
            <w:shd w:val="clear" w:color="auto" w:fill="FFFFFF"/>
          </w:tcPr>
          <w:p w14:paraId="3AFB6C70">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1.501</w:t>
            </w:r>
          </w:p>
        </w:tc>
        <w:tc>
          <w:tcPr>
            <w:tcW w:w="994" w:type="dxa"/>
            <w:tcBorders>
              <w:top w:val="nil"/>
              <w:left w:val="single" w:color="000000" w:sz="8" w:space="0"/>
              <w:bottom w:val="nil"/>
              <w:right w:val="single" w:color="000000" w:sz="8" w:space="0"/>
            </w:tcBorders>
            <w:shd w:val="clear" w:color="auto" w:fill="FFFFFF"/>
          </w:tcPr>
          <w:p w14:paraId="4A89E22E">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-1.966</w:t>
            </w:r>
          </w:p>
        </w:tc>
        <w:tc>
          <w:tcPr>
            <w:tcW w:w="1055" w:type="dxa"/>
            <w:tcBorders>
              <w:top w:val="nil"/>
              <w:left w:val="single" w:color="000000" w:sz="8" w:space="0"/>
              <w:bottom w:val="nil"/>
              <w:right w:val="single" w:color="000000" w:sz="18" w:space="0"/>
            </w:tcBorders>
            <w:shd w:val="clear" w:color="auto" w:fill="FFFFFF"/>
          </w:tcPr>
          <w:p w14:paraId="169A4355">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.289</w:t>
            </w:r>
          </w:p>
        </w:tc>
      </w:tr>
      <w:tr w14:paraId="7F76C0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682" w:type="dxa"/>
            <w:tcBorders>
              <w:top w:val="nil"/>
              <w:left w:val="single" w:color="000000" w:sz="18" w:space="0"/>
              <w:bottom w:val="nil"/>
              <w:right w:val="single" w:color="000000" w:sz="18" w:space="0"/>
            </w:tcBorders>
            <w:shd w:val="clear" w:color="auto" w:fill="FFFFFF"/>
            <w:vAlign w:val="center"/>
          </w:tcPr>
          <w:p w14:paraId="2F8BEB3D">
            <w:pPr>
              <w:autoSpaceDE w:val="0"/>
              <w:autoSpaceDN w:val="0"/>
              <w:adjustRightInd w:val="0"/>
              <w:spacing w:after="0" w:line="320" w:lineRule="atLeast"/>
              <w:ind w:left="60" w:right="60"/>
              <w:jc w:val="left"/>
              <w:rPr>
                <w:rFonts w:ascii="Arial" w:hAnsi="Arial" w:cs="Arial"/>
                <w:color w:val="000000"/>
                <w:sz w:val="18"/>
                <w:szCs w:val="18"/>
                <w:highlight w:val="none"/>
                <w:lang w:val="en-US"/>
              </w:rPr>
            </w:pPr>
            <w:r>
              <w:rPr>
                <w:rFonts w:ascii="Arial" w:hAnsi="Arial" w:cs="Arial"/>
                <w:color w:val="000000"/>
                <w:sz w:val="18"/>
                <w:szCs w:val="18"/>
                <w:highlight w:val="none"/>
                <w:lang w:val="en-US"/>
              </w:rPr>
              <w:t>Q3.</w:t>
            </w:r>
          </w:p>
        </w:tc>
        <w:tc>
          <w:tcPr>
            <w:tcW w:w="994" w:type="dxa"/>
            <w:tcBorders>
              <w:top w:val="nil"/>
              <w:left w:val="single" w:color="000000" w:sz="18" w:space="0"/>
              <w:bottom w:val="nil"/>
              <w:right w:val="single" w:color="000000" w:sz="8" w:space="0"/>
            </w:tcBorders>
            <w:shd w:val="clear" w:color="auto" w:fill="FFFFFF"/>
          </w:tcPr>
          <w:p w14:paraId="25877ED1">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1055" w:type="dxa"/>
            <w:tcBorders>
              <w:top w:val="nil"/>
              <w:left w:val="single" w:color="000000" w:sz="8" w:space="0"/>
              <w:bottom w:val="nil"/>
              <w:right w:val="single" w:color="000000" w:sz="8" w:space="0"/>
            </w:tcBorders>
            <w:shd w:val="clear" w:color="auto" w:fill="FFFFFF"/>
          </w:tcPr>
          <w:p w14:paraId="53375924">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w:t>
            </w:r>
          </w:p>
        </w:tc>
        <w:tc>
          <w:tcPr>
            <w:tcW w:w="1086" w:type="dxa"/>
            <w:tcBorders>
              <w:top w:val="nil"/>
              <w:left w:val="single" w:color="000000" w:sz="8" w:space="0"/>
              <w:bottom w:val="nil"/>
              <w:right w:val="single" w:color="000000" w:sz="8" w:space="0"/>
            </w:tcBorders>
            <w:shd w:val="clear" w:color="auto" w:fill="FFFFFF"/>
          </w:tcPr>
          <w:p w14:paraId="60AFF15D">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4</w:t>
            </w:r>
          </w:p>
        </w:tc>
        <w:tc>
          <w:tcPr>
            <w:tcW w:w="994" w:type="dxa"/>
            <w:tcBorders>
              <w:top w:val="nil"/>
              <w:left w:val="single" w:color="000000" w:sz="8" w:space="0"/>
              <w:bottom w:val="nil"/>
              <w:right w:val="single" w:color="000000" w:sz="8" w:space="0"/>
            </w:tcBorders>
            <w:shd w:val="clear" w:color="auto" w:fill="FFFFFF"/>
          </w:tcPr>
          <w:p w14:paraId="26724D5B">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2.89</w:t>
            </w:r>
          </w:p>
        </w:tc>
        <w:tc>
          <w:tcPr>
            <w:tcW w:w="1422" w:type="dxa"/>
            <w:tcBorders>
              <w:top w:val="nil"/>
              <w:left w:val="single" w:color="000000" w:sz="8" w:space="0"/>
              <w:bottom w:val="nil"/>
              <w:right w:val="single" w:color="000000" w:sz="8" w:space="0"/>
            </w:tcBorders>
            <w:shd w:val="clear" w:color="auto" w:fill="FFFFFF"/>
          </w:tcPr>
          <w:p w14:paraId="2BD2007E">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1.264</w:t>
            </w:r>
          </w:p>
        </w:tc>
        <w:tc>
          <w:tcPr>
            <w:tcW w:w="994" w:type="dxa"/>
            <w:tcBorders>
              <w:top w:val="nil"/>
              <w:left w:val="single" w:color="000000" w:sz="8" w:space="0"/>
              <w:bottom w:val="nil"/>
              <w:right w:val="single" w:color="000000" w:sz="8" w:space="0"/>
            </w:tcBorders>
            <w:shd w:val="clear" w:color="auto" w:fill="FFFFFF"/>
          </w:tcPr>
          <w:p w14:paraId="0C947530">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-1.595</w:t>
            </w:r>
          </w:p>
        </w:tc>
        <w:tc>
          <w:tcPr>
            <w:tcW w:w="1055" w:type="dxa"/>
            <w:tcBorders>
              <w:top w:val="nil"/>
              <w:left w:val="single" w:color="000000" w:sz="8" w:space="0"/>
              <w:bottom w:val="nil"/>
              <w:right w:val="single" w:color="000000" w:sz="18" w:space="0"/>
            </w:tcBorders>
            <w:shd w:val="clear" w:color="auto" w:fill="FFFFFF"/>
          </w:tcPr>
          <w:p w14:paraId="596614DD">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.289</w:t>
            </w:r>
          </w:p>
        </w:tc>
      </w:tr>
      <w:tr w14:paraId="171786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682" w:type="dxa"/>
            <w:tcBorders>
              <w:top w:val="nil"/>
              <w:left w:val="single" w:color="000000" w:sz="18" w:space="0"/>
              <w:bottom w:val="nil"/>
              <w:right w:val="single" w:color="000000" w:sz="18" w:space="0"/>
            </w:tcBorders>
            <w:shd w:val="clear" w:color="auto" w:fill="FFFFFF"/>
            <w:vAlign w:val="center"/>
          </w:tcPr>
          <w:p w14:paraId="19F3BA15">
            <w:pPr>
              <w:autoSpaceDE w:val="0"/>
              <w:autoSpaceDN w:val="0"/>
              <w:adjustRightInd w:val="0"/>
              <w:spacing w:after="0" w:line="320" w:lineRule="atLeast"/>
              <w:ind w:left="60" w:right="60"/>
              <w:jc w:val="left"/>
              <w:rPr>
                <w:rFonts w:ascii="Arial" w:hAnsi="Arial" w:cs="Arial"/>
                <w:color w:val="000000"/>
                <w:sz w:val="18"/>
                <w:szCs w:val="18"/>
                <w:highlight w:val="none"/>
                <w:lang w:val="en-US"/>
              </w:rPr>
            </w:pPr>
            <w:r>
              <w:rPr>
                <w:rFonts w:ascii="Arial" w:hAnsi="Arial" w:cs="Arial"/>
                <w:color w:val="000000"/>
                <w:sz w:val="18"/>
                <w:szCs w:val="18"/>
                <w:highlight w:val="none"/>
                <w:lang w:val="en-US"/>
              </w:rPr>
              <w:t>Q4.</w:t>
            </w:r>
          </w:p>
        </w:tc>
        <w:tc>
          <w:tcPr>
            <w:tcW w:w="994" w:type="dxa"/>
            <w:tcBorders>
              <w:top w:val="nil"/>
              <w:left w:val="single" w:color="000000" w:sz="18" w:space="0"/>
              <w:bottom w:val="nil"/>
              <w:right w:val="single" w:color="000000" w:sz="8" w:space="0"/>
            </w:tcBorders>
            <w:shd w:val="clear" w:color="auto" w:fill="FFFFFF"/>
          </w:tcPr>
          <w:p w14:paraId="02F5C42A">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1055" w:type="dxa"/>
            <w:tcBorders>
              <w:top w:val="nil"/>
              <w:left w:val="single" w:color="000000" w:sz="8" w:space="0"/>
              <w:bottom w:val="nil"/>
              <w:right w:val="single" w:color="000000" w:sz="8" w:space="0"/>
            </w:tcBorders>
            <w:shd w:val="clear" w:color="auto" w:fill="FFFFFF"/>
          </w:tcPr>
          <w:p w14:paraId="38491630">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w:t>
            </w:r>
          </w:p>
        </w:tc>
        <w:tc>
          <w:tcPr>
            <w:tcW w:w="1086" w:type="dxa"/>
            <w:tcBorders>
              <w:top w:val="nil"/>
              <w:left w:val="single" w:color="000000" w:sz="8" w:space="0"/>
              <w:bottom w:val="nil"/>
              <w:right w:val="single" w:color="000000" w:sz="8" w:space="0"/>
            </w:tcBorders>
            <w:shd w:val="clear" w:color="auto" w:fill="FFFFFF"/>
          </w:tcPr>
          <w:p w14:paraId="3CDAB64D">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5</w:t>
            </w:r>
          </w:p>
        </w:tc>
        <w:tc>
          <w:tcPr>
            <w:tcW w:w="994" w:type="dxa"/>
            <w:tcBorders>
              <w:top w:val="nil"/>
              <w:left w:val="single" w:color="000000" w:sz="8" w:space="0"/>
              <w:bottom w:val="nil"/>
              <w:right w:val="single" w:color="000000" w:sz="8" w:space="0"/>
            </w:tcBorders>
            <w:shd w:val="clear" w:color="auto" w:fill="FFFFFF"/>
          </w:tcPr>
          <w:p w14:paraId="083D18D9">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3.40</w:t>
            </w:r>
          </w:p>
        </w:tc>
        <w:tc>
          <w:tcPr>
            <w:tcW w:w="1422" w:type="dxa"/>
            <w:tcBorders>
              <w:top w:val="nil"/>
              <w:left w:val="single" w:color="000000" w:sz="8" w:space="0"/>
              <w:bottom w:val="nil"/>
              <w:right w:val="single" w:color="000000" w:sz="8" w:space="0"/>
            </w:tcBorders>
            <w:shd w:val="clear" w:color="auto" w:fill="FFFFFF"/>
          </w:tcPr>
          <w:p w14:paraId="180753C7">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1.801</w:t>
            </w:r>
          </w:p>
        </w:tc>
        <w:tc>
          <w:tcPr>
            <w:tcW w:w="994" w:type="dxa"/>
            <w:tcBorders>
              <w:top w:val="nil"/>
              <w:left w:val="single" w:color="000000" w:sz="8" w:space="0"/>
              <w:bottom w:val="nil"/>
              <w:right w:val="single" w:color="000000" w:sz="8" w:space="0"/>
            </w:tcBorders>
            <w:shd w:val="clear" w:color="auto" w:fill="FFFFFF"/>
          </w:tcPr>
          <w:p w14:paraId="5475E0E2">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-1.803</w:t>
            </w:r>
          </w:p>
        </w:tc>
        <w:tc>
          <w:tcPr>
            <w:tcW w:w="1055" w:type="dxa"/>
            <w:tcBorders>
              <w:top w:val="nil"/>
              <w:left w:val="single" w:color="000000" w:sz="8" w:space="0"/>
              <w:bottom w:val="nil"/>
              <w:right w:val="single" w:color="000000" w:sz="18" w:space="0"/>
            </w:tcBorders>
            <w:shd w:val="clear" w:color="auto" w:fill="FFFFFF"/>
          </w:tcPr>
          <w:p w14:paraId="4C6E3DAA">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.289</w:t>
            </w:r>
          </w:p>
        </w:tc>
      </w:tr>
      <w:tr w14:paraId="7C2B4D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682" w:type="dxa"/>
            <w:tcBorders>
              <w:top w:val="nil"/>
              <w:left w:val="single" w:color="000000" w:sz="18" w:space="0"/>
              <w:bottom w:val="nil"/>
              <w:right w:val="single" w:color="000000" w:sz="18" w:space="0"/>
            </w:tcBorders>
            <w:shd w:val="clear" w:color="auto" w:fill="FFFFFF"/>
            <w:vAlign w:val="center"/>
          </w:tcPr>
          <w:p w14:paraId="18FC12E7">
            <w:pPr>
              <w:autoSpaceDE w:val="0"/>
              <w:autoSpaceDN w:val="0"/>
              <w:adjustRightInd w:val="0"/>
              <w:spacing w:after="0" w:line="320" w:lineRule="atLeast"/>
              <w:ind w:left="60" w:right="60"/>
              <w:jc w:val="left"/>
              <w:rPr>
                <w:rFonts w:ascii="Arial" w:hAnsi="Arial" w:cs="Arial"/>
                <w:color w:val="000000"/>
                <w:sz w:val="18"/>
                <w:szCs w:val="18"/>
                <w:highlight w:val="none"/>
                <w:lang w:val="en-US"/>
              </w:rPr>
            </w:pPr>
            <w:r>
              <w:rPr>
                <w:rFonts w:ascii="Arial" w:hAnsi="Arial" w:cs="Arial"/>
                <w:color w:val="000000"/>
                <w:sz w:val="18"/>
                <w:szCs w:val="18"/>
                <w:highlight w:val="none"/>
                <w:lang w:val="en-US"/>
              </w:rPr>
              <w:t>Q5.</w:t>
            </w:r>
          </w:p>
        </w:tc>
        <w:tc>
          <w:tcPr>
            <w:tcW w:w="994" w:type="dxa"/>
            <w:tcBorders>
              <w:top w:val="nil"/>
              <w:left w:val="single" w:color="000000" w:sz="18" w:space="0"/>
              <w:bottom w:val="nil"/>
              <w:right w:val="single" w:color="000000" w:sz="8" w:space="0"/>
            </w:tcBorders>
            <w:shd w:val="clear" w:color="auto" w:fill="FFFFFF"/>
          </w:tcPr>
          <w:p w14:paraId="4C933F57">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1055" w:type="dxa"/>
            <w:tcBorders>
              <w:top w:val="nil"/>
              <w:left w:val="single" w:color="000000" w:sz="8" w:space="0"/>
              <w:bottom w:val="nil"/>
              <w:right w:val="single" w:color="000000" w:sz="8" w:space="0"/>
            </w:tcBorders>
            <w:shd w:val="clear" w:color="auto" w:fill="FFFFFF"/>
          </w:tcPr>
          <w:p w14:paraId="30A18AAA">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w:t>
            </w:r>
          </w:p>
        </w:tc>
        <w:tc>
          <w:tcPr>
            <w:tcW w:w="1086" w:type="dxa"/>
            <w:tcBorders>
              <w:top w:val="nil"/>
              <w:left w:val="single" w:color="000000" w:sz="8" w:space="0"/>
              <w:bottom w:val="nil"/>
              <w:right w:val="single" w:color="000000" w:sz="8" w:space="0"/>
            </w:tcBorders>
            <w:shd w:val="clear" w:color="auto" w:fill="FFFFFF"/>
          </w:tcPr>
          <w:p w14:paraId="484491FC">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4</w:t>
            </w:r>
          </w:p>
        </w:tc>
        <w:tc>
          <w:tcPr>
            <w:tcW w:w="994" w:type="dxa"/>
            <w:tcBorders>
              <w:top w:val="nil"/>
              <w:left w:val="single" w:color="000000" w:sz="8" w:space="0"/>
              <w:bottom w:val="nil"/>
              <w:right w:val="single" w:color="000000" w:sz="8" w:space="0"/>
            </w:tcBorders>
            <w:shd w:val="clear" w:color="auto" w:fill="FFFFFF"/>
          </w:tcPr>
          <w:p w14:paraId="6EC50BC7">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2.89</w:t>
            </w:r>
          </w:p>
        </w:tc>
        <w:tc>
          <w:tcPr>
            <w:tcW w:w="1422" w:type="dxa"/>
            <w:tcBorders>
              <w:top w:val="nil"/>
              <w:left w:val="single" w:color="000000" w:sz="8" w:space="0"/>
              <w:bottom w:val="nil"/>
              <w:right w:val="single" w:color="000000" w:sz="8" w:space="0"/>
            </w:tcBorders>
            <w:shd w:val="clear" w:color="auto" w:fill="FFFFFF"/>
          </w:tcPr>
          <w:p w14:paraId="6865A00E">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1.265</w:t>
            </w:r>
          </w:p>
        </w:tc>
        <w:tc>
          <w:tcPr>
            <w:tcW w:w="994" w:type="dxa"/>
            <w:tcBorders>
              <w:top w:val="nil"/>
              <w:left w:val="single" w:color="000000" w:sz="8" w:space="0"/>
              <w:bottom w:val="nil"/>
              <w:right w:val="single" w:color="000000" w:sz="8" w:space="0"/>
            </w:tcBorders>
            <w:shd w:val="clear" w:color="auto" w:fill="FFFFFF"/>
          </w:tcPr>
          <w:p w14:paraId="0E0B804B">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-1.604</w:t>
            </w:r>
          </w:p>
        </w:tc>
        <w:tc>
          <w:tcPr>
            <w:tcW w:w="1055" w:type="dxa"/>
            <w:tcBorders>
              <w:top w:val="nil"/>
              <w:left w:val="single" w:color="000000" w:sz="8" w:space="0"/>
              <w:bottom w:val="nil"/>
              <w:right w:val="single" w:color="000000" w:sz="18" w:space="0"/>
            </w:tcBorders>
            <w:shd w:val="clear" w:color="auto" w:fill="FFFFFF"/>
          </w:tcPr>
          <w:p w14:paraId="23A3AE59">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.289</w:t>
            </w:r>
          </w:p>
        </w:tc>
      </w:tr>
      <w:tr w14:paraId="437F3C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682" w:type="dxa"/>
            <w:tcBorders>
              <w:top w:val="nil"/>
              <w:left w:val="single" w:color="000000" w:sz="18" w:space="0"/>
              <w:bottom w:val="nil"/>
              <w:right w:val="single" w:color="000000" w:sz="18" w:space="0"/>
            </w:tcBorders>
            <w:shd w:val="clear" w:color="auto" w:fill="FFFFFF"/>
            <w:vAlign w:val="center"/>
          </w:tcPr>
          <w:p w14:paraId="18DE070D">
            <w:pPr>
              <w:autoSpaceDE w:val="0"/>
              <w:autoSpaceDN w:val="0"/>
              <w:adjustRightInd w:val="0"/>
              <w:spacing w:after="0" w:line="320" w:lineRule="atLeast"/>
              <w:ind w:left="60" w:right="60"/>
              <w:jc w:val="left"/>
              <w:rPr>
                <w:rFonts w:ascii="Arial" w:hAnsi="Arial" w:cs="Arial"/>
                <w:color w:val="000000"/>
                <w:sz w:val="18"/>
                <w:szCs w:val="18"/>
                <w:highlight w:val="none"/>
                <w:lang w:val="en-US"/>
              </w:rPr>
            </w:pPr>
            <w:r>
              <w:rPr>
                <w:rFonts w:ascii="Arial" w:hAnsi="Arial" w:cs="Arial"/>
                <w:color w:val="000000"/>
                <w:sz w:val="18"/>
                <w:szCs w:val="18"/>
                <w:highlight w:val="none"/>
                <w:lang w:val="en-US"/>
              </w:rPr>
              <w:t>Q6.</w:t>
            </w:r>
          </w:p>
        </w:tc>
        <w:tc>
          <w:tcPr>
            <w:tcW w:w="994" w:type="dxa"/>
            <w:tcBorders>
              <w:top w:val="nil"/>
              <w:left w:val="single" w:color="000000" w:sz="18" w:space="0"/>
              <w:bottom w:val="nil"/>
              <w:right w:val="single" w:color="000000" w:sz="8" w:space="0"/>
            </w:tcBorders>
            <w:shd w:val="clear" w:color="auto" w:fill="FFFFFF"/>
          </w:tcPr>
          <w:p w14:paraId="02EF5F01">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1055" w:type="dxa"/>
            <w:tcBorders>
              <w:top w:val="nil"/>
              <w:left w:val="single" w:color="000000" w:sz="8" w:space="0"/>
              <w:bottom w:val="nil"/>
              <w:right w:val="single" w:color="000000" w:sz="8" w:space="0"/>
            </w:tcBorders>
            <w:shd w:val="clear" w:color="auto" w:fill="FFFFFF"/>
          </w:tcPr>
          <w:p w14:paraId="3C0692BD">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w:t>
            </w:r>
          </w:p>
        </w:tc>
        <w:tc>
          <w:tcPr>
            <w:tcW w:w="1086" w:type="dxa"/>
            <w:tcBorders>
              <w:top w:val="nil"/>
              <w:left w:val="single" w:color="000000" w:sz="8" w:space="0"/>
              <w:bottom w:val="nil"/>
              <w:right w:val="single" w:color="000000" w:sz="8" w:space="0"/>
            </w:tcBorders>
            <w:shd w:val="clear" w:color="auto" w:fill="FFFFFF"/>
          </w:tcPr>
          <w:p w14:paraId="2C82656F">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5</w:t>
            </w:r>
          </w:p>
        </w:tc>
        <w:tc>
          <w:tcPr>
            <w:tcW w:w="994" w:type="dxa"/>
            <w:tcBorders>
              <w:top w:val="nil"/>
              <w:left w:val="single" w:color="000000" w:sz="8" w:space="0"/>
              <w:bottom w:val="nil"/>
              <w:right w:val="single" w:color="000000" w:sz="8" w:space="0"/>
            </w:tcBorders>
            <w:shd w:val="clear" w:color="auto" w:fill="FFFFFF"/>
          </w:tcPr>
          <w:p w14:paraId="33ED83BF">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3.39</w:t>
            </w:r>
          </w:p>
        </w:tc>
        <w:tc>
          <w:tcPr>
            <w:tcW w:w="1422" w:type="dxa"/>
            <w:tcBorders>
              <w:top w:val="nil"/>
              <w:left w:val="single" w:color="000000" w:sz="8" w:space="0"/>
              <w:bottom w:val="nil"/>
              <w:right w:val="single" w:color="000000" w:sz="8" w:space="0"/>
            </w:tcBorders>
            <w:shd w:val="clear" w:color="auto" w:fill="FFFFFF"/>
          </w:tcPr>
          <w:p w14:paraId="228FCB91">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1.799</w:t>
            </w:r>
          </w:p>
        </w:tc>
        <w:tc>
          <w:tcPr>
            <w:tcW w:w="994" w:type="dxa"/>
            <w:tcBorders>
              <w:top w:val="nil"/>
              <w:left w:val="single" w:color="000000" w:sz="8" w:space="0"/>
              <w:bottom w:val="nil"/>
              <w:right w:val="single" w:color="000000" w:sz="8" w:space="0"/>
            </w:tcBorders>
            <w:shd w:val="clear" w:color="auto" w:fill="FFFFFF"/>
          </w:tcPr>
          <w:p w14:paraId="0CD1BEB6">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-1.804</w:t>
            </w:r>
          </w:p>
        </w:tc>
        <w:tc>
          <w:tcPr>
            <w:tcW w:w="1055" w:type="dxa"/>
            <w:tcBorders>
              <w:top w:val="nil"/>
              <w:left w:val="single" w:color="000000" w:sz="8" w:space="0"/>
              <w:bottom w:val="nil"/>
              <w:right w:val="single" w:color="000000" w:sz="18" w:space="0"/>
            </w:tcBorders>
            <w:shd w:val="clear" w:color="auto" w:fill="FFFFFF"/>
          </w:tcPr>
          <w:p w14:paraId="5BCF6DD4">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.289</w:t>
            </w:r>
          </w:p>
        </w:tc>
      </w:tr>
      <w:tr w14:paraId="14BC4D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682" w:type="dxa"/>
            <w:tcBorders>
              <w:top w:val="nil"/>
              <w:left w:val="single" w:color="000000" w:sz="18" w:space="0"/>
              <w:bottom w:val="nil"/>
              <w:right w:val="single" w:color="000000" w:sz="18" w:space="0"/>
            </w:tcBorders>
            <w:shd w:val="clear" w:color="auto" w:fill="FFFFFF"/>
            <w:vAlign w:val="center"/>
          </w:tcPr>
          <w:p w14:paraId="7FE7372F">
            <w:pPr>
              <w:autoSpaceDE w:val="0"/>
              <w:autoSpaceDN w:val="0"/>
              <w:adjustRightInd w:val="0"/>
              <w:spacing w:after="0" w:line="320" w:lineRule="atLeast"/>
              <w:ind w:left="60" w:right="60"/>
              <w:jc w:val="left"/>
              <w:rPr>
                <w:rFonts w:ascii="Arial" w:hAnsi="Arial" w:cs="Arial"/>
                <w:color w:val="000000"/>
                <w:sz w:val="18"/>
                <w:szCs w:val="18"/>
                <w:highlight w:val="none"/>
                <w:lang w:val="en-US"/>
              </w:rPr>
            </w:pPr>
            <w:r>
              <w:rPr>
                <w:rFonts w:ascii="Arial" w:hAnsi="Arial" w:cs="Arial"/>
                <w:color w:val="000000"/>
                <w:sz w:val="18"/>
                <w:szCs w:val="18"/>
                <w:highlight w:val="none"/>
                <w:lang w:val="en-US"/>
              </w:rPr>
              <w:t>Q7.</w:t>
            </w:r>
          </w:p>
        </w:tc>
        <w:tc>
          <w:tcPr>
            <w:tcW w:w="994" w:type="dxa"/>
            <w:tcBorders>
              <w:top w:val="nil"/>
              <w:left w:val="single" w:color="000000" w:sz="18" w:space="0"/>
              <w:bottom w:val="nil"/>
              <w:right w:val="single" w:color="000000" w:sz="8" w:space="0"/>
            </w:tcBorders>
            <w:shd w:val="clear" w:color="auto" w:fill="FFFFFF"/>
          </w:tcPr>
          <w:p w14:paraId="77224FB2">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1055" w:type="dxa"/>
            <w:tcBorders>
              <w:top w:val="nil"/>
              <w:left w:val="single" w:color="000000" w:sz="8" w:space="0"/>
              <w:bottom w:val="nil"/>
              <w:right w:val="single" w:color="000000" w:sz="8" w:space="0"/>
            </w:tcBorders>
            <w:shd w:val="clear" w:color="auto" w:fill="FFFFFF"/>
          </w:tcPr>
          <w:p w14:paraId="033641CB">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w:t>
            </w:r>
          </w:p>
        </w:tc>
        <w:tc>
          <w:tcPr>
            <w:tcW w:w="1086" w:type="dxa"/>
            <w:tcBorders>
              <w:top w:val="nil"/>
              <w:left w:val="single" w:color="000000" w:sz="8" w:space="0"/>
              <w:bottom w:val="nil"/>
              <w:right w:val="single" w:color="000000" w:sz="8" w:space="0"/>
            </w:tcBorders>
            <w:shd w:val="clear" w:color="auto" w:fill="FFFFFF"/>
          </w:tcPr>
          <w:p w14:paraId="602DC082">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4</w:t>
            </w:r>
          </w:p>
        </w:tc>
        <w:tc>
          <w:tcPr>
            <w:tcW w:w="994" w:type="dxa"/>
            <w:tcBorders>
              <w:top w:val="nil"/>
              <w:left w:val="single" w:color="000000" w:sz="8" w:space="0"/>
              <w:bottom w:val="nil"/>
              <w:right w:val="single" w:color="000000" w:sz="8" w:space="0"/>
            </w:tcBorders>
            <w:shd w:val="clear" w:color="auto" w:fill="FFFFFF"/>
          </w:tcPr>
          <w:p w14:paraId="74FFC904">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2.89</w:t>
            </w:r>
          </w:p>
        </w:tc>
        <w:tc>
          <w:tcPr>
            <w:tcW w:w="1422" w:type="dxa"/>
            <w:tcBorders>
              <w:top w:val="nil"/>
              <w:left w:val="single" w:color="000000" w:sz="8" w:space="0"/>
              <w:bottom w:val="nil"/>
              <w:right w:val="single" w:color="000000" w:sz="8" w:space="0"/>
            </w:tcBorders>
            <w:shd w:val="clear" w:color="auto" w:fill="FFFFFF"/>
          </w:tcPr>
          <w:p w14:paraId="204AC9AE">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1.264</w:t>
            </w:r>
          </w:p>
        </w:tc>
        <w:tc>
          <w:tcPr>
            <w:tcW w:w="994" w:type="dxa"/>
            <w:tcBorders>
              <w:top w:val="nil"/>
              <w:left w:val="single" w:color="000000" w:sz="8" w:space="0"/>
              <w:bottom w:val="nil"/>
              <w:right w:val="single" w:color="000000" w:sz="8" w:space="0"/>
            </w:tcBorders>
            <w:shd w:val="clear" w:color="auto" w:fill="FFFFFF"/>
          </w:tcPr>
          <w:p w14:paraId="0FBF10EB">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-1.595</w:t>
            </w:r>
          </w:p>
        </w:tc>
        <w:tc>
          <w:tcPr>
            <w:tcW w:w="1055" w:type="dxa"/>
            <w:tcBorders>
              <w:top w:val="nil"/>
              <w:left w:val="single" w:color="000000" w:sz="8" w:space="0"/>
              <w:bottom w:val="nil"/>
              <w:right w:val="single" w:color="000000" w:sz="18" w:space="0"/>
            </w:tcBorders>
            <w:shd w:val="clear" w:color="auto" w:fill="FFFFFF"/>
          </w:tcPr>
          <w:p w14:paraId="35BE44D8">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.289</w:t>
            </w:r>
          </w:p>
        </w:tc>
      </w:tr>
      <w:tr w14:paraId="595970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682" w:type="dxa"/>
            <w:tcBorders>
              <w:top w:val="nil"/>
              <w:left w:val="single" w:color="000000" w:sz="18" w:space="0"/>
              <w:bottom w:val="nil"/>
              <w:right w:val="single" w:color="000000" w:sz="18" w:space="0"/>
            </w:tcBorders>
            <w:shd w:val="clear" w:color="auto" w:fill="FFFFFF"/>
            <w:vAlign w:val="center"/>
          </w:tcPr>
          <w:p w14:paraId="4895F809">
            <w:pPr>
              <w:autoSpaceDE w:val="0"/>
              <w:autoSpaceDN w:val="0"/>
              <w:adjustRightInd w:val="0"/>
              <w:spacing w:after="0" w:line="320" w:lineRule="atLeast"/>
              <w:ind w:left="60" w:right="60"/>
              <w:jc w:val="left"/>
              <w:rPr>
                <w:rFonts w:ascii="Arial" w:hAnsi="Arial" w:cs="Arial"/>
                <w:color w:val="000000"/>
                <w:sz w:val="18"/>
                <w:szCs w:val="18"/>
                <w:highlight w:val="none"/>
                <w:lang w:val="en-US"/>
              </w:rPr>
            </w:pPr>
            <w:r>
              <w:rPr>
                <w:rFonts w:ascii="Arial" w:hAnsi="Arial" w:cs="Arial"/>
                <w:color w:val="000000"/>
                <w:sz w:val="18"/>
                <w:szCs w:val="18"/>
                <w:highlight w:val="none"/>
                <w:lang w:val="en-US"/>
              </w:rPr>
              <w:t>Q8.</w:t>
            </w:r>
          </w:p>
        </w:tc>
        <w:tc>
          <w:tcPr>
            <w:tcW w:w="994" w:type="dxa"/>
            <w:tcBorders>
              <w:top w:val="nil"/>
              <w:left w:val="single" w:color="000000" w:sz="18" w:space="0"/>
              <w:bottom w:val="nil"/>
              <w:right w:val="single" w:color="000000" w:sz="8" w:space="0"/>
            </w:tcBorders>
            <w:shd w:val="clear" w:color="auto" w:fill="FFFFFF"/>
          </w:tcPr>
          <w:p w14:paraId="400670F9">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1055" w:type="dxa"/>
            <w:tcBorders>
              <w:top w:val="nil"/>
              <w:left w:val="single" w:color="000000" w:sz="8" w:space="0"/>
              <w:bottom w:val="nil"/>
              <w:right w:val="single" w:color="000000" w:sz="8" w:space="0"/>
            </w:tcBorders>
            <w:shd w:val="clear" w:color="auto" w:fill="FFFFFF"/>
          </w:tcPr>
          <w:p w14:paraId="0E09B0D4">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w:t>
            </w:r>
          </w:p>
        </w:tc>
        <w:tc>
          <w:tcPr>
            <w:tcW w:w="1086" w:type="dxa"/>
            <w:tcBorders>
              <w:top w:val="nil"/>
              <w:left w:val="single" w:color="000000" w:sz="8" w:space="0"/>
              <w:bottom w:val="nil"/>
              <w:right w:val="single" w:color="000000" w:sz="8" w:space="0"/>
            </w:tcBorders>
            <w:shd w:val="clear" w:color="auto" w:fill="FFFFFF"/>
          </w:tcPr>
          <w:p w14:paraId="35C16732">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5</w:t>
            </w:r>
          </w:p>
        </w:tc>
        <w:tc>
          <w:tcPr>
            <w:tcW w:w="994" w:type="dxa"/>
            <w:tcBorders>
              <w:top w:val="nil"/>
              <w:left w:val="single" w:color="000000" w:sz="8" w:space="0"/>
              <w:bottom w:val="nil"/>
              <w:right w:val="single" w:color="000000" w:sz="8" w:space="0"/>
            </w:tcBorders>
            <w:shd w:val="clear" w:color="auto" w:fill="FFFFFF"/>
          </w:tcPr>
          <w:p w14:paraId="44E70ADA">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3.39</w:t>
            </w:r>
          </w:p>
        </w:tc>
        <w:tc>
          <w:tcPr>
            <w:tcW w:w="1422" w:type="dxa"/>
            <w:tcBorders>
              <w:top w:val="nil"/>
              <w:left w:val="single" w:color="000000" w:sz="8" w:space="0"/>
              <w:bottom w:val="nil"/>
              <w:right w:val="single" w:color="000000" w:sz="8" w:space="0"/>
            </w:tcBorders>
            <w:shd w:val="clear" w:color="auto" w:fill="FFFFFF"/>
          </w:tcPr>
          <w:p w14:paraId="36317806">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1.804</w:t>
            </w:r>
          </w:p>
        </w:tc>
        <w:tc>
          <w:tcPr>
            <w:tcW w:w="994" w:type="dxa"/>
            <w:tcBorders>
              <w:top w:val="nil"/>
              <w:left w:val="single" w:color="000000" w:sz="8" w:space="0"/>
              <w:bottom w:val="nil"/>
              <w:right w:val="single" w:color="000000" w:sz="8" w:space="0"/>
            </w:tcBorders>
            <w:shd w:val="clear" w:color="auto" w:fill="FFFFFF"/>
          </w:tcPr>
          <w:p w14:paraId="6C551BDA">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-1.812</w:t>
            </w:r>
          </w:p>
        </w:tc>
        <w:tc>
          <w:tcPr>
            <w:tcW w:w="1055" w:type="dxa"/>
            <w:tcBorders>
              <w:top w:val="nil"/>
              <w:left w:val="single" w:color="000000" w:sz="8" w:space="0"/>
              <w:bottom w:val="nil"/>
              <w:right w:val="single" w:color="000000" w:sz="18" w:space="0"/>
            </w:tcBorders>
            <w:shd w:val="clear" w:color="auto" w:fill="FFFFFF"/>
          </w:tcPr>
          <w:p w14:paraId="4157FDED">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.289</w:t>
            </w:r>
          </w:p>
        </w:tc>
      </w:tr>
      <w:tr w14:paraId="1738B8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682" w:type="dxa"/>
            <w:tcBorders>
              <w:top w:val="nil"/>
              <w:left w:val="single" w:color="000000" w:sz="18" w:space="0"/>
              <w:bottom w:val="nil"/>
              <w:right w:val="single" w:color="000000" w:sz="18" w:space="0"/>
            </w:tcBorders>
            <w:shd w:val="clear" w:color="auto" w:fill="FFFFFF"/>
            <w:vAlign w:val="center"/>
          </w:tcPr>
          <w:p w14:paraId="49886B06">
            <w:pPr>
              <w:autoSpaceDE w:val="0"/>
              <w:autoSpaceDN w:val="0"/>
              <w:adjustRightInd w:val="0"/>
              <w:spacing w:after="0" w:line="320" w:lineRule="atLeast"/>
              <w:ind w:left="60" w:right="60"/>
              <w:jc w:val="left"/>
              <w:rPr>
                <w:rFonts w:ascii="Arial" w:hAnsi="Arial" w:cs="Arial"/>
                <w:color w:val="000000"/>
                <w:sz w:val="18"/>
                <w:szCs w:val="18"/>
                <w:highlight w:val="none"/>
                <w:lang w:val="en-US"/>
              </w:rPr>
            </w:pPr>
            <w:r>
              <w:rPr>
                <w:rFonts w:ascii="Arial" w:hAnsi="Arial" w:cs="Arial"/>
                <w:color w:val="000000"/>
                <w:sz w:val="18"/>
                <w:szCs w:val="18"/>
                <w:highlight w:val="none"/>
                <w:lang w:val="en-US"/>
              </w:rPr>
              <w:t>Q9.</w:t>
            </w:r>
          </w:p>
        </w:tc>
        <w:tc>
          <w:tcPr>
            <w:tcW w:w="994" w:type="dxa"/>
            <w:tcBorders>
              <w:top w:val="nil"/>
              <w:left w:val="single" w:color="000000" w:sz="18" w:space="0"/>
              <w:bottom w:val="nil"/>
              <w:right w:val="single" w:color="000000" w:sz="8" w:space="0"/>
            </w:tcBorders>
            <w:shd w:val="clear" w:color="auto" w:fill="FFFFFF"/>
          </w:tcPr>
          <w:p w14:paraId="12EAA4AB">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1055" w:type="dxa"/>
            <w:tcBorders>
              <w:top w:val="nil"/>
              <w:left w:val="single" w:color="000000" w:sz="8" w:space="0"/>
              <w:bottom w:val="nil"/>
              <w:right w:val="single" w:color="000000" w:sz="8" w:space="0"/>
            </w:tcBorders>
            <w:shd w:val="clear" w:color="auto" w:fill="FFFFFF"/>
          </w:tcPr>
          <w:p w14:paraId="0075F916">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w:t>
            </w:r>
          </w:p>
        </w:tc>
        <w:tc>
          <w:tcPr>
            <w:tcW w:w="1086" w:type="dxa"/>
            <w:tcBorders>
              <w:top w:val="nil"/>
              <w:left w:val="single" w:color="000000" w:sz="8" w:space="0"/>
              <w:bottom w:val="nil"/>
              <w:right w:val="single" w:color="000000" w:sz="8" w:space="0"/>
            </w:tcBorders>
            <w:shd w:val="clear" w:color="auto" w:fill="FFFFFF"/>
          </w:tcPr>
          <w:p w14:paraId="4DD343B6">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4</w:t>
            </w:r>
          </w:p>
        </w:tc>
        <w:tc>
          <w:tcPr>
            <w:tcW w:w="994" w:type="dxa"/>
            <w:tcBorders>
              <w:top w:val="nil"/>
              <w:left w:val="single" w:color="000000" w:sz="8" w:space="0"/>
              <w:bottom w:val="nil"/>
              <w:right w:val="single" w:color="000000" w:sz="8" w:space="0"/>
            </w:tcBorders>
            <w:shd w:val="clear" w:color="auto" w:fill="FFFFFF"/>
          </w:tcPr>
          <w:p w14:paraId="25C790BC">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2.89</w:t>
            </w:r>
          </w:p>
        </w:tc>
        <w:tc>
          <w:tcPr>
            <w:tcW w:w="1422" w:type="dxa"/>
            <w:tcBorders>
              <w:top w:val="nil"/>
              <w:left w:val="single" w:color="000000" w:sz="8" w:space="0"/>
              <w:bottom w:val="nil"/>
              <w:right w:val="single" w:color="000000" w:sz="8" w:space="0"/>
            </w:tcBorders>
            <w:shd w:val="clear" w:color="auto" w:fill="FFFFFF"/>
          </w:tcPr>
          <w:p w14:paraId="205D6D45">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1.264</w:t>
            </w:r>
          </w:p>
        </w:tc>
        <w:tc>
          <w:tcPr>
            <w:tcW w:w="994" w:type="dxa"/>
            <w:tcBorders>
              <w:top w:val="nil"/>
              <w:left w:val="single" w:color="000000" w:sz="8" w:space="0"/>
              <w:bottom w:val="nil"/>
              <w:right w:val="single" w:color="000000" w:sz="8" w:space="0"/>
            </w:tcBorders>
            <w:shd w:val="clear" w:color="auto" w:fill="FFFFFF"/>
          </w:tcPr>
          <w:p w14:paraId="1025DD72">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-1.595</w:t>
            </w:r>
          </w:p>
        </w:tc>
        <w:tc>
          <w:tcPr>
            <w:tcW w:w="1055" w:type="dxa"/>
            <w:tcBorders>
              <w:top w:val="nil"/>
              <w:left w:val="single" w:color="000000" w:sz="8" w:space="0"/>
              <w:bottom w:val="nil"/>
              <w:right w:val="single" w:color="000000" w:sz="18" w:space="0"/>
            </w:tcBorders>
            <w:shd w:val="clear" w:color="auto" w:fill="FFFFFF"/>
          </w:tcPr>
          <w:p w14:paraId="69014288">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.289</w:t>
            </w:r>
          </w:p>
        </w:tc>
      </w:tr>
      <w:tr w14:paraId="39AAA7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682" w:type="dxa"/>
            <w:tcBorders>
              <w:top w:val="nil"/>
              <w:left w:val="single" w:color="000000" w:sz="18" w:space="0"/>
              <w:bottom w:val="nil"/>
              <w:right w:val="single" w:color="000000" w:sz="18" w:space="0"/>
            </w:tcBorders>
            <w:shd w:val="clear" w:color="auto" w:fill="FFFFFF"/>
            <w:vAlign w:val="center"/>
          </w:tcPr>
          <w:p w14:paraId="5C84C630">
            <w:pPr>
              <w:autoSpaceDE w:val="0"/>
              <w:autoSpaceDN w:val="0"/>
              <w:adjustRightInd w:val="0"/>
              <w:spacing w:after="0" w:line="320" w:lineRule="atLeast"/>
              <w:ind w:left="60" w:right="60"/>
              <w:jc w:val="left"/>
              <w:rPr>
                <w:rFonts w:ascii="Arial" w:hAnsi="Arial" w:cs="Arial"/>
                <w:color w:val="000000"/>
                <w:sz w:val="18"/>
                <w:szCs w:val="18"/>
                <w:highlight w:val="none"/>
                <w:lang w:val="en-US"/>
              </w:rPr>
            </w:pPr>
            <w:r>
              <w:rPr>
                <w:rFonts w:ascii="Arial" w:hAnsi="Arial" w:cs="Arial"/>
                <w:color w:val="000000"/>
                <w:sz w:val="18"/>
                <w:szCs w:val="18"/>
                <w:highlight w:val="none"/>
                <w:lang w:val="en-US"/>
              </w:rPr>
              <w:t>Q 10.</w:t>
            </w:r>
          </w:p>
        </w:tc>
        <w:tc>
          <w:tcPr>
            <w:tcW w:w="994" w:type="dxa"/>
            <w:tcBorders>
              <w:top w:val="nil"/>
              <w:left w:val="single" w:color="000000" w:sz="18" w:space="0"/>
              <w:bottom w:val="nil"/>
              <w:right w:val="single" w:color="000000" w:sz="8" w:space="0"/>
            </w:tcBorders>
            <w:shd w:val="clear" w:color="auto" w:fill="FFFFFF"/>
          </w:tcPr>
          <w:p w14:paraId="62A693C0">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1055" w:type="dxa"/>
            <w:tcBorders>
              <w:top w:val="nil"/>
              <w:left w:val="single" w:color="000000" w:sz="8" w:space="0"/>
              <w:bottom w:val="nil"/>
              <w:right w:val="single" w:color="000000" w:sz="8" w:space="0"/>
            </w:tcBorders>
            <w:shd w:val="clear" w:color="auto" w:fill="FFFFFF"/>
          </w:tcPr>
          <w:p w14:paraId="0A3D6B24">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w:t>
            </w:r>
          </w:p>
        </w:tc>
        <w:tc>
          <w:tcPr>
            <w:tcW w:w="1086" w:type="dxa"/>
            <w:tcBorders>
              <w:top w:val="nil"/>
              <w:left w:val="single" w:color="000000" w:sz="8" w:space="0"/>
              <w:bottom w:val="nil"/>
              <w:right w:val="single" w:color="000000" w:sz="8" w:space="0"/>
            </w:tcBorders>
            <w:shd w:val="clear" w:color="auto" w:fill="FFFFFF"/>
          </w:tcPr>
          <w:p w14:paraId="4D736969">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5</w:t>
            </w:r>
          </w:p>
        </w:tc>
        <w:tc>
          <w:tcPr>
            <w:tcW w:w="994" w:type="dxa"/>
            <w:tcBorders>
              <w:top w:val="nil"/>
              <w:left w:val="single" w:color="000000" w:sz="8" w:space="0"/>
              <w:bottom w:val="nil"/>
              <w:right w:val="single" w:color="000000" w:sz="8" w:space="0"/>
            </w:tcBorders>
            <w:shd w:val="clear" w:color="auto" w:fill="FFFFFF"/>
          </w:tcPr>
          <w:p w14:paraId="1B68D588">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3.65</w:t>
            </w:r>
          </w:p>
        </w:tc>
        <w:tc>
          <w:tcPr>
            <w:tcW w:w="1422" w:type="dxa"/>
            <w:tcBorders>
              <w:top w:val="nil"/>
              <w:left w:val="single" w:color="000000" w:sz="8" w:space="0"/>
              <w:bottom w:val="nil"/>
              <w:right w:val="single" w:color="000000" w:sz="8" w:space="0"/>
            </w:tcBorders>
            <w:shd w:val="clear" w:color="auto" w:fill="FFFFFF"/>
          </w:tcPr>
          <w:p w14:paraId="7CA08E32">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1.495</w:t>
            </w:r>
          </w:p>
        </w:tc>
        <w:tc>
          <w:tcPr>
            <w:tcW w:w="994" w:type="dxa"/>
            <w:tcBorders>
              <w:top w:val="nil"/>
              <w:left w:val="single" w:color="000000" w:sz="8" w:space="0"/>
              <w:bottom w:val="nil"/>
              <w:right w:val="single" w:color="000000" w:sz="8" w:space="0"/>
            </w:tcBorders>
            <w:shd w:val="clear" w:color="auto" w:fill="FFFFFF"/>
          </w:tcPr>
          <w:p w14:paraId="146989EC">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-1.974</w:t>
            </w:r>
          </w:p>
        </w:tc>
        <w:tc>
          <w:tcPr>
            <w:tcW w:w="1055" w:type="dxa"/>
            <w:tcBorders>
              <w:top w:val="nil"/>
              <w:left w:val="single" w:color="000000" w:sz="8" w:space="0"/>
              <w:bottom w:val="nil"/>
              <w:right w:val="single" w:color="000000" w:sz="18" w:space="0"/>
            </w:tcBorders>
            <w:shd w:val="clear" w:color="auto" w:fill="FFFFFF"/>
          </w:tcPr>
          <w:p w14:paraId="414A01F7">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.289</w:t>
            </w:r>
          </w:p>
        </w:tc>
      </w:tr>
      <w:tr w14:paraId="1097AF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682" w:type="dxa"/>
            <w:tcBorders>
              <w:top w:val="nil"/>
              <w:left w:val="single" w:color="000000" w:sz="18" w:space="0"/>
              <w:bottom w:val="nil"/>
              <w:right w:val="single" w:color="000000" w:sz="18" w:space="0"/>
            </w:tcBorders>
            <w:shd w:val="clear" w:color="auto" w:fill="FFFFFF"/>
            <w:vAlign w:val="center"/>
          </w:tcPr>
          <w:p w14:paraId="61D0F6C5">
            <w:pPr>
              <w:autoSpaceDE w:val="0"/>
              <w:autoSpaceDN w:val="0"/>
              <w:adjustRightInd w:val="0"/>
              <w:spacing w:after="0" w:line="320" w:lineRule="atLeast"/>
              <w:ind w:left="60" w:right="60"/>
              <w:jc w:val="left"/>
              <w:rPr>
                <w:rFonts w:ascii="Arial" w:hAnsi="Arial" w:cs="Arial"/>
                <w:color w:val="000000"/>
                <w:sz w:val="18"/>
                <w:szCs w:val="18"/>
                <w:highlight w:val="none"/>
                <w:lang w:val="en-US"/>
              </w:rPr>
            </w:pPr>
            <w:r>
              <w:rPr>
                <w:rFonts w:ascii="Arial" w:hAnsi="Arial" w:cs="Arial"/>
                <w:color w:val="000000"/>
                <w:sz w:val="18"/>
                <w:szCs w:val="18"/>
                <w:highlight w:val="none"/>
                <w:lang w:val="en-US"/>
              </w:rPr>
              <w:t>Q11.</w:t>
            </w:r>
          </w:p>
        </w:tc>
        <w:tc>
          <w:tcPr>
            <w:tcW w:w="994" w:type="dxa"/>
            <w:tcBorders>
              <w:top w:val="nil"/>
              <w:left w:val="single" w:color="000000" w:sz="18" w:space="0"/>
              <w:bottom w:val="nil"/>
              <w:right w:val="single" w:color="000000" w:sz="8" w:space="0"/>
            </w:tcBorders>
            <w:shd w:val="clear" w:color="auto" w:fill="FFFFFF"/>
          </w:tcPr>
          <w:p w14:paraId="1370782C">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1055" w:type="dxa"/>
            <w:tcBorders>
              <w:top w:val="nil"/>
              <w:left w:val="single" w:color="000000" w:sz="8" w:space="0"/>
              <w:bottom w:val="nil"/>
              <w:right w:val="single" w:color="000000" w:sz="8" w:space="0"/>
            </w:tcBorders>
            <w:shd w:val="clear" w:color="auto" w:fill="FFFFFF"/>
          </w:tcPr>
          <w:p w14:paraId="6DDAFE1E">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w:t>
            </w:r>
          </w:p>
        </w:tc>
        <w:tc>
          <w:tcPr>
            <w:tcW w:w="1086" w:type="dxa"/>
            <w:tcBorders>
              <w:top w:val="nil"/>
              <w:left w:val="single" w:color="000000" w:sz="8" w:space="0"/>
              <w:bottom w:val="nil"/>
              <w:right w:val="single" w:color="000000" w:sz="8" w:space="0"/>
            </w:tcBorders>
            <w:shd w:val="clear" w:color="auto" w:fill="FFFFFF"/>
          </w:tcPr>
          <w:p w14:paraId="74EABFC5">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4</w:t>
            </w:r>
          </w:p>
        </w:tc>
        <w:tc>
          <w:tcPr>
            <w:tcW w:w="994" w:type="dxa"/>
            <w:tcBorders>
              <w:top w:val="nil"/>
              <w:left w:val="single" w:color="000000" w:sz="8" w:space="0"/>
              <w:bottom w:val="nil"/>
              <w:right w:val="single" w:color="000000" w:sz="8" w:space="0"/>
            </w:tcBorders>
            <w:shd w:val="clear" w:color="auto" w:fill="FFFFFF"/>
          </w:tcPr>
          <w:p w14:paraId="77EE0EE4">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2.64</w:t>
            </w:r>
          </w:p>
        </w:tc>
        <w:tc>
          <w:tcPr>
            <w:tcW w:w="1422" w:type="dxa"/>
            <w:tcBorders>
              <w:top w:val="nil"/>
              <w:left w:val="single" w:color="000000" w:sz="8" w:space="0"/>
              <w:bottom w:val="nil"/>
              <w:right w:val="single" w:color="000000" w:sz="8" w:space="0"/>
            </w:tcBorders>
            <w:shd w:val="clear" w:color="auto" w:fill="FFFFFF"/>
          </w:tcPr>
          <w:p w14:paraId="172572AC">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1.496</w:t>
            </w:r>
          </w:p>
        </w:tc>
        <w:tc>
          <w:tcPr>
            <w:tcW w:w="994" w:type="dxa"/>
            <w:tcBorders>
              <w:top w:val="nil"/>
              <w:left w:val="single" w:color="000000" w:sz="8" w:space="0"/>
              <w:bottom w:val="nil"/>
              <w:right w:val="single" w:color="000000" w:sz="8" w:space="0"/>
            </w:tcBorders>
            <w:shd w:val="clear" w:color="auto" w:fill="FFFFFF"/>
          </w:tcPr>
          <w:p w14:paraId="7F629794">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-1.979</w:t>
            </w:r>
          </w:p>
        </w:tc>
        <w:tc>
          <w:tcPr>
            <w:tcW w:w="1055" w:type="dxa"/>
            <w:tcBorders>
              <w:top w:val="nil"/>
              <w:left w:val="single" w:color="000000" w:sz="8" w:space="0"/>
              <w:bottom w:val="nil"/>
              <w:right w:val="single" w:color="000000" w:sz="18" w:space="0"/>
            </w:tcBorders>
            <w:shd w:val="clear" w:color="auto" w:fill="FFFFFF"/>
          </w:tcPr>
          <w:p w14:paraId="4680FE37">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.289</w:t>
            </w:r>
          </w:p>
        </w:tc>
      </w:tr>
      <w:tr w14:paraId="5444A6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682" w:type="dxa"/>
            <w:tcBorders>
              <w:top w:val="nil"/>
              <w:left w:val="single" w:color="000000" w:sz="18" w:space="0"/>
              <w:bottom w:val="nil"/>
              <w:right w:val="single" w:color="000000" w:sz="18" w:space="0"/>
            </w:tcBorders>
            <w:shd w:val="clear" w:color="auto" w:fill="FFFFFF"/>
            <w:vAlign w:val="center"/>
          </w:tcPr>
          <w:p w14:paraId="34340213">
            <w:pPr>
              <w:autoSpaceDE w:val="0"/>
              <w:autoSpaceDN w:val="0"/>
              <w:adjustRightInd w:val="0"/>
              <w:spacing w:after="0" w:line="320" w:lineRule="atLeast"/>
              <w:ind w:left="60" w:right="60"/>
              <w:jc w:val="left"/>
              <w:rPr>
                <w:rFonts w:ascii="Arial" w:hAnsi="Arial" w:cs="Arial"/>
                <w:color w:val="000000"/>
                <w:sz w:val="18"/>
                <w:szCs w:val="18"/>
                <w:highlight w:val="none"/>
                <w:lang w:val="en-US"/>
              </w:rPr>
            </w:pPr>
            <w:r>
              <w:rPr>
                <w:rFonts w:ascii="Arial" w:hAnsi="Arial" w:cs="Arial"/>
                <w:color w:val="000000"/>
                <w:sz w:val="18"/>
                <w:szCs w:val="18"/>
                <w:highlight w:val="none"/>
                <w:lang w:val="en-US"/>
              </w:rPr>
              <w:t>Q12.</w:t>
            </w:r>
          </w:p>
        </w:tc>
        <w:tc>
          <w:tcPr>
            <w:tcW w:w="994" w:type="dxa"/>
            <w:tcBorders>
              <w:top w:val="nil"/>
              <w:left w:val="single" w:color="000000" w:sz="18" w:space="0"/>
              <w:bottom w:val="nil"/>
              <w:right w:val="single" w:color="000000" w:sz="8" w:space="0"/>
            </w:tcBorders>
            <w:shd w:val="clear" w:color="auto" w:fill="FFFFFF"/>
          </w:tcPr>
          <w:p w14:paraId="26B0855C">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288</w:t>
            </w:r>
          </w:p>
        </w:tc>
        <w:tc>
          <w:tcPr>
            <w:tcW w:w="1055" w:type="dxa"/>
            <w:tcBorders>
              <w:top w:val="nil"/>
              <w:left w:val="single" w:color="000000" w:sz="8" w:space="0"/>
              <w:bottom w:val="nil"/>
              <w:right w:val="single" w:color="000000" w:sz="8" w:space="0"/>
            </w:tcBorders>
            <w:shd w:val="clear" w:color="auto" w:fill="FFFFFF"/>
          </w:tcPr>
          <w:p w14:paraId="121DCED0">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w:t>
            </w:r>
          </w:p>
        </w:tc>
        <w:tc>
          <w:tcPr>
            <w:tcW w:w="1086" w:type="dxa"/>
            <w:tcBorders>
              <w:top w:val="nil"/>
              <w:left w:val="single" w:color="000000" w:sz="8" w:space="0"/>
              <w:bottom w:val="nil"/>
              <w:right w:val="single" w:color="000000" w:sz="8" w:space="0"/>
            </w:tcBorders>
            <w:shd w:val="clear" w:color="auto" w:fill="FFFFFF"/>
          </w:tcPr>
          <w:p w14:paraId="3FC4575B">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5</w:t>
            </w:r>
          </w:p>
        </w:tc>
        <w:tc>
          <w:tcPr>
            <w:tcW w:w="994" w:type="dxa"/>
            <w:tcBorders>
              <w:top w:val="nil"/>
              <w:left w:val="single" w:color="000000" w:sz="8" w:space="0"/>
              <w:bottom w:val="nil"/>
              <w:right w:val="single" w:color="000000" w:sz="8" w:space="0"/>
            </w:tcBorders>
            <w:shd w:val="clear" w:color="auto" w:fill="FFFFFF"/>
          </w:tcPr>
          <w:p w14:paraId="6B468423">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3.66</w:t>
            </w:r>
          </w:p>
        </w:tc>
        <w:tc>
          <w:tcPr>
            <w:tcW w:w="1422" w:type="dxa"/>
            <w:tcBorders>
              <w:top w:val="nil"/>
              <w:left w:val="single" w:color="000000" w:sz="8" w:space="0"/>
              <w:bottom w:val="nil"/>
              <w:right w:val="single" w:color="000000" w:sz="8" w:space="0"/>
            </w:tcBorders>
            <w:shd w:val="clear" w:color="auto" w:fill="FFFFFF"/>
          </w:tcPr>
          <w:p w14:paraId="0A2CEEFA">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1.484</w:t>
            </w:r>
          </w:p>
        </w:tc>
        <w:tc>
          <w:tcPr>
            <w:tcW w:w="994" w:type="dxa"/>
            <w:tcBorders>
              <w:top w:val="nil"/>
              <w:left w:val="single" w:color="000000" w:sz="8" w:space="0"/>
              <w:bottom w:val="nil"/>
              <w:right w:val="single" w:color="000000" w:sz="8" w:space="0"/>
            </w:tcBorders>
            <w:shd w:val="clear" w:color="auto" w:fill="FFFFFF"/>
          </w:tcPr>
          <w:p w14:paraId="4BB00118">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-1.952</w:t>
            </w:r>
          </w:p>
        </w:tc>
        <w:tc>
          <w:tcPr>
            <w:tcW w:w="1055" w:type="dxa"/>
            <w:tcBorders>
              <w:top w:val="nil"/>
              <w:left w:val="single" w:color="000000" w:sz="8" w:space="0"/>
              <w:bottom w:val="nil"/>
              <w:right w:val="single" w:color="000000" w:sz="18" w:space="0"/>
            </w:tcBorders>
            <w:shd w:val="clear" w:color="auto" w:fill="FFFFFF"/>
          </w:tcPr>
          <w:p w14:paraId="717097EB">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.286</w:t>
            </w:r>
          </w:p>
        </w:tc>
      </w:tr>
      <w:tr w14:paraId="54E1F2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682" w:type="dxa"/>
            <w:tcBorders>
              <w:top w:val="nil"/>
              <w:left w:val="single" w:color="000000" w:sz="18" w:space="0"/>
              <w:bottom w:val="nil"/>
              <w:right w:val="single" w:color="000000" w:sz="18" w:space="0"/>
            </w:tcBorders>
            <w:shd w:val="clear" w:color="auto" w:fill="FFFFFF"/>
            <w:vAlign w:val="center"/>
          </w:tcPr>
          <w:p w14:paraId="0854210C">
            <w:pPr>
              <w:autoSpaceDE w:val="0"/>
              <w:autoSpaceDN w:val="0"/>
              <w:adjustRightInd w:val="0"/>
              <w:spacing w:after="0" w:line="320" w:lineRule="atLeast"/>
              <w:ind w:left="60" w:right="60"/>
              <w:jc w:val="left"/>
              <w:rPr>
                <w:rFonts w:ascii="Arial" w:hAnsi="Arial" w:cs="Arial"/>
                <w:color w:val="000000"/>
                <w:sz w:val="18"/>
                <w:szCs w:val="18"/>
                <w:highlight w:val="none"/>
                <w:lang w:val="en-US"/>
              </w:rPr>
            </w:pPr>
            <w:r>
              <w:rPr>
                <w:rFonts w:ascii="Arial" w:hAnsi="Arial" w:cs="Arial"/>
                <w:color w:val="000000"/>
                <w:sz w:val="18"/>
                <w:szCs w:val="18"/>
                <w:highlight w:val="none"/>
                <w:lang w:val="en-US"/>
              </w:rPr>
              <w:t>Q13.</w:t>
            </w:r>
          </w:p>
        </w:tc>
        <w:tc>
          <w:tcPr>
            <w:tcW w:w="994" w:type="dxa"/>
            <w:tcBorders>
              <w:top w:val="nil"/>
              <w:left w:val="single" w:color="000000" w:sz="18" w:space="0"/>
              <w:bottom w:val="nil"/>
              <w:right w:val="single" w:color="000000" w:sz="8" w:space="0"/>
            </w:tcBorders>
            <w:shd w:val="clear" w:color="auto" w:fill="FFFFFF"/>
          </w:tcPr>
          <w:p w14:paraId="08E567C5">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1055" w:type="dxa"/>
            <w:tcBorders>
              <w:top w:val="nil"/>
              <w:left w:val="single" w:color="000000" w:sz="8" w:space="0"/>
              <w:bottom w:val="nil"/>
              <w:right w:val="single" w:color="000000" w:sz="8" w:space="0"/>
            </w:tcBorders>
            <w:shd w:val="clear" w:color="auto" w:fill="FFFFFF"/>
          </w:tcPr>
          <w:p w14:paraId="5F52F5E6">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w:t>
            </w:r>
          </w:p>
        </w:tc>
        <w:tc>
          <w:tcPr>
            <w:tcW w:w="1086" w:type="dxa"/>
            <w:tcBorders>
              <w:top w:val="nil"/>
              <w:left w:val="single" w:color="000000" w:sz="8" w:space="0"/>
              <w:bottom w:val="nil"/>
              <w:right w:val="single" w:color="000000" w:sz="8" w:space="0"/>
            </w:tcBorders>
            <w:shd w:val="clear" w:color="auto" w:fill="FFFFFF"/>
          </w:tcPr>
          <w:p w14:paraId="2B8DC4CA">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4</w:t>
            </w:r>
          </w:p>
        </w:tc>
        <w:tc>
          <w:tcPr>
            <w:tcW w:w="994" w:type="dxa"/>
            <w:tcBorders>
              <w:top w:val="nil"/>
              <w:left w:val="single" w:color="000000" w:sz="8" w:space="0"/>
              <w:bottom w:val="nil"/>
              <w:right w:val="single" w:color="000000" w:sz="8" w:space="0"/>
            </w:tcBorders>
            <w:shd w:val="clear" w:color="auto" w:fill="FFFFFF"/>
          </w:tcPr>
          <w:p w14:paraId="577D1749">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2.65</w:t>
            </w:r>
          </w:p>
        </w:tc>
        <w:tc>
          <w:tcPr>
            <w:tcW w:w="1422" w:type="dxa"/>
            <w:tcBorders>
              <w:top w:val="nil"/>
              <w:left w:val="single" w:color="000000" w:sz="8" w:space="0"/>
              <w:bottom w:val="nil"/>
              <w:right w:val="single" w:color="000000" w:sz="8" w:space="0"/>
            </w:tcBorders>
            <w:shd w:val="clear" w:color="auto" w:fill="FFFFFF"/>
          </w:tcPr>
          <w:p w14:paraId="2763CB1B">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1.493</w:t>
            </w:r>
          </w:p>
        </w:tc>
        <w:tc>
          <w:tcPr>
            <w:tcW w:w="994" w:type="dxa"/>
            <w:tcBorders>
              <w:top w:val="nil"/>
              <w:left w:val="single" w:color="000000" w:sz="8" w:space="0"/>
              <w:bottom w:val="nil"/>
              <w:right w:val="single" w:color="000000" w:sz="8" w:space="0"/>
            </w:tcBorders>
            <w:shd w:val="clear" w:color="auto" w:fill="FFFFFF"/>
          </w:tcPr>
          <w:p w14:paraId="57416B3B">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-1.972</w:t>
            </w:r>
          </w:p>
        </w:tc>
        <w:tc>
          <w:tcPr>
            <w:tcW w:w="1055" w:type="dxa"/>
            <w:tcBorders>
              <w:top w:val="nil"/>
              <w:left w:val="single" w:color="000000" w:sz="8" w:space="0"/>
              <w:bottom w:val="nil"/>
              <w:right w:val="single" w:color="000000" w:sz="18" w:space="0"/>
            </w:tcBorders>
            <w:shd w:val="clear" w:color="auto" w:fill="FFFFFF"/>
          </w:tcPr>
          <w:p w14:paraId="5FC0BFDA">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.289</w:t>
            </w:r>
          </w:p>
        </w:tc>
      </w:tr>
      <w:tr w14:paraId="5F870F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682" w:type="dxa"/>
            <w:tcBorders>
              <w:top w:val="nil"/>
              <w:left w:val="single" w:color="000000" w:sz="18" w:space="0"/>
              <w:bottom w:val="nil"/>
              <w:right w:val="single" w:color="000000" w:sz="18" w:space="0"/>
            </w:tcBorders>
            <w:shd w:val="clear" w:color="auto" w:fill="FFFFFF"/>
            <w:vAlign w:val="center"/>
          </w:tcPr>
          <w:p w14:paraId="5DA6EF92">
            <w:pPr>
              <w:autoSpaceDE w:val="0"/>
              <w:autoSpaceDN w:val="0"/>
              <w:adjustRightInd w:val="0"/>
              <w:spacing w:after="0" w:line="320" w:lineRule="atLeast"/>
              <w:ind w:left="60" w:right="60"/>
              <w:jc w:val="left"/>
              <w:rPr>
                <w:rFonts w:ascii="Arial" w:hAnsi="Arial" w:cs="Arial"/>
                <w:color w:val="000000"/>
                <w:sz w:val="18"/>
                <w:szCs w:val="18"/>
                <w:highlight w:val="none"/>
                <w:lang w:val="en-US"/>
              </w:rPr>
            </w:pPr>
            <w:r>
              <w:rPr>
                <w:rFonts w:ascii="Arial" w:hAnsi="Arial" w:cs="Arial"/>
                <w:color w:val="000000"/>
                <w:sz w:val="18"/>
                <w:szCs w:val="18"/>
                <w:highlight w:val="none"/>
                <w:lang w:val="en-US"/>
              </w:rPr>
              <w:t>Q14.</w:t>
            </w:r>
          </w:p>
        </w:tc>
        <w:tc>
          <w:tcPr>
            <w:tcW w:w="994" w:type="dxa"/>
            <w:tcBorders>
              <w:top w:val="nil"/>
              <w:left w:val="single" w:color="000000" w:sz="18" w:space="0"/>
              <w:bottom w:val="nil"/>
              <w:right w:val="single" w:color="000000" w:sz="8" w:space="0"/>
            </w:tcBorders>
            <w:shd w:val="clear" w:color="auto" w:fill="FFFFFF"/>
          </w:tcPr>
          <w:p w14:paraId="4F8DBF39">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1055" w:type="dxa"/>
            <w:tcBorders>
              <w:top w:val="nil"/>
              <w:left w:val="single" w:color="000000" w:sz="8" w:space="0"/>
              <w:bottom w:val="nil"/>
              <w:right w:val="single" w:color="000000" w:sz="8" w:space="0"/>
            </w:tcBorders>
            <w:shd w:val="clear" w:color="auto" w:fill="FFFFFF"/>
          </w:tcPr>
          <w:p w14:paraId="13A904FB">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w:t>
            </w:r>
          </w:p>
        </w:tc>
        <w:tc>
          <w:tcPr>
            <w:tcW w:w="1086" w:type="dxa"/>
            <w:tcBorders>
              <w:top w:val="nil"/>
              <w:left w:val="single" w:color="000000" w:sz="8" w:space="0"/>
              <w:bottom w:val="nil"/>
              <w:right w:val="single" w:color="000000" w:sz="8" w:space="0"/>
            </w:tcBorders>
            <w:shd w:val="clear" w:color="auto" w:fill="FFFFFF"/>
          </w:tcPr>
          <w:p w14:paraId="4B0258C5">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5</w:t>
            </w:r>
          </w:p>
        </w:tc>
        <w:tc>
          <w:tcPr>
            <w:tcW w:w="994" w:type="dxa"/>
            <w:tcBorders>
              <w:top w:val="nil"/>
              <w:left w:val="single" w:color="000000" w:sz="8" w:space="0"/>
              <w:bottom w:val="nil"/>
              <w:right w:val="single" w:color="000000" w:sz="8" w:space="0"/>
            </w:tcBorders>
            <w:shd w:val="clear" w:color="auto" w:fill="FFFFFF"/>
          </w:tcPr>
          <w:p w14:paraId="5C06AB11">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3.65</w:t>
            </w:r>
          </w:p>
        </w:tc>
        <w:tc>
          <w:tcPr>
            <w:tcW w:w="1422" w:type="dxa"/>
            <w:tcBorders>
              <w:top w:val="nil"/>
              <w:left w:val="single" w:color="000000" w:sz="8" w:space="0"/>
              <w:bottom w:val="nil"/>
              <w:right w:val="single" w:color="000000" w:sz="8" w:space="0"/>
            </w:tcBorders>
            <w:shd w:val="clear" w:color="auto" w:fill="FFFFFF"/>
          </w:tcPr>
          <w:p w14:paraId="286F4CE2">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1.495</w:t>
            </w:r>
          </w:p>
        </w:tc>
        <w:tc>
          <w:tcPr>
            <w:tcW w:w="994" w:type="dxa"/>
            <w:tcBorders>
              <w:top w:val="nil"/>
              <w:left w:val="single" w:color="000000" w:sz="8" w:space="0"/>
              <w:bottom w:val="nil"/>
              <w:right w:val="single" w:color="000000" w:sz="8" w:space="0"/>
            </w:tcBorders>
            <w:shd w:val="clear" w:color="auto" w:fill="FFFFFF"/>
          </w:tcPr>
          <w:p w14:paraId="0FFAE315">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-1.974</w:t>
            </w:r>
          </w:p>
        </w:tc>
        <w:tc>
          <w:tcPr>
            <w:tcW w:w="1055" w:type="dxa"/>
            <w:tcBorders>
              <w:top w:val="nil"/>
              <w:left w:val="single" w:color="000000" w:sz="8" w:space="0"/>
              <w:bottom w:val="nil"/>
              <w:right w:val="single" w:color="000000" w:sz="18" w:space="0"/>
            </w:tcBorders>
            <w:shd w:val="clear" w:color="auto" w:fill="FFFFFF"/>
          </w:tcPr>
          <w:p w14:paraId="0819AFE7">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.289</w:t>
            </w:r>
          </w:p>
        </w:tc>
      </w:tr>
      <w:tr w14:paraId="69E404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682" w:type="dxa"/>
            <w:tcBorders>
              <w:top w:val="nil"/>
              <w:left w:val="single" w:color="000000" w:sz="18" w:space="0"/>
              <w:bottom w:val="nil"/>
              <w:right w:val="single" w:color="000000" w:sz="18" w:space="0"/>
            </w:tcBorders>
            <w:shd w:val="clear" w:color="auto" w:fill="FFFFFF"/>
            <w:vAlign w:val="center"/>
          </w:tcPr>
          <w:p w14:paraId="66DC8F4B">
            <w:pPr>
              <w:autoSpaceDE w:val="0"/>
              <w:autoSpaceDN w:val="0"/>
              <w:adjustRightInd w:val="0"/>
              <w:spacing w:after="0" w:line="320" w:lineRule="atLeast"/>
              <w:ind w:left="60" w:right="60"/>
              <w:jc w:val="left"/>
              <w:rPr>
                <w:rFonts w:ascii="Arial" w:hAnsi="Arial" w:cs="Arial"/>
                <w:color w:val="000000"/>
                <w:sz w:val="18"/>
                <w:szCs w:val="18"/>
                <w:highlight w:val="none"/>
                <w:lang w:val="en-US"/>
              </w:rPr>
            </w:pPr>
            <w:r>
              <w:rPr>
                <w:rFonts w:ascii="Arial" w:hAnsi="Arial" w:cs="Arial"/>
                <w:color w:val="000000"/>
                <w:sz w:val="18"/>
                <w:szCs w:val="18"/>
                <w:highlight w:val="none"/>
                <w:lang w:val="en-US"/>
              </w:rPr>
              <w:t>Q15.</w:t>
            </w:r>
          </w:p>
        </w:tc>
        <w:tc>
          <w:tcPr>
            <w:tcW w:w="994" w:type="dxa"/>
            <w:tcBorders>
              <w:top w:val="nil"/>
              <w:left w:val="single" w:color="000000" w:sz="18" w:space="0"/>
              <w:bottom w:val="nil"/>
              <w:right w:val="single" w:color="000000" w:sz="8" w:space="0"/>
            </w:tcBorders>
            <w:shd w:val="clear" w:color="auto" w:fill="FFFFFF"/>
          </w:tcPr>
          <w:p w14:paraId="7124CCF2">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1055" w:type="dxa"/>
            <w:tcBorders>
              <w:top w:val="nil"/>
              <w:left w:val="single" w:color="000000" w:sz="8" w:space="0"/>
              <w:bottom w:val="nil"/>
              <w:right w:val="single" w:color="000000" w:sz="8" w:space="0"/>
            </w:tcBorders>
            <w:shd w:val="clear" w:color="auto" w:fill="FFFFFF"/>
          </w:tcPr>
          <w:p w14:paraId="2A5D7369">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w:t>
            </w:r>
          </w:p>
        </w:tc>
        <w:tc>
          <w:tcPr>
            <w:tcW w:w="1086" w:type="dxa"/>
            <w:tcBorders>
              <w:top w:val="nil"/>
              <w:left w:val="single" w:color="000000" w:sz="8" w:space="0"/>
              <w:bottom w:val="nil"/>
              <w:right w:val="single" w:color="000000" w:sz="8" w:space="0"/>
            </w:tcBorders>
            <w:shd w:val="clear" w:color="auto" w:fill="FFFFFF"/>
          </w:tcPr>
          <w:p w14:paraId="48A9749E">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4</w:t>
            </w:r>
          </w:p>
        </w:tc>
        <w:tc>
          <w:tcPr>
            <w:tcW w:w="994" w:type="dxa"/>
            <w:tcBorders>
              <w:top w:val="nil"/>
              <w:left w:val="single" w:color="000000" w:sz="8" w:space="0"/>
              <w:bottom w:val="nil"/>
              <w:right w:val="single" w:color="000000" w:sz="8" w:space="0"/>
            </w:tcBorders>
            <w:shd w:val="clear" w:color="auto" w:fill="FFFFFF"/>
          </w:tcPr>
          <w:p w14:paraId="573AA19C">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2.65</w:t>
            </w:r>
          </w:p>
        </w:tc>
        <w:tc>
          <w:tcPr>
            <w:tcW w:w="1422" w:type="dxa"/>
            <w:tcBorders>
              <w:top w:val="nil"/>
              <w:left w:val="single" w:color="000000" w:sz="8" w:space="0"/>
              <w:bottom w:val="nil"/>
              <w:right w:val="single" w:color="000000" w:sz="8" w:space="0"/>
            </w:tcBorders>
            <w:shd w:val="clear" w:color="auto" w:fill="FFFFFF"/>
          </w:tcPr>
          <w:p w14:paraId="32D9090F">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1.495</w:t>
            </w:r>
          </w:p>
        </w:tc>
        <w:tc>
          <w:tcPr>
            <w:tcW w:w="994" w:type="dxa"/>
            <w:tcBorders>
              <w:top w:val="nil"/>
              <w:left w:val="single" w:color="000000" w:sz="8" w:space="0"/>
              <w:bottom w:val="nil"/>
              <w:right w:val="single" w:color="000000" w:sz="8" w:space="0"/>
            </w:tcBorders>
            <w:shd w:val="clear" w:color="auto" w:fill="FFFFFF"/>
          </w:tcPr>
          <w:p w14:paraId="484EBEDC">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-1.974</w:t>
            </w:r>
          </w:p>
        </w:tc>
        <w:tc>
          <w:tcPr>
            <w:tcW w:w="1055" w:type="dxa"/>
            <w:tcBorders>
              <w:top w:val="nil"/>
              <w:left w:val="single" w:color="000000" w:sz="8" w:space="0"/>
              <w:bottom w:val="nil"/>
              <w:right w:val="single" w:color="000000" w:sz="18" w:space="0"/>
            </w:tcBorders>
            <w:shd w:val="clear" w:color="auto" w:fill="FFFFFF"/>
          </w:tcPr>
          <w:p w14:paraId="6CF57495">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.289</w:t>
            </w:r>
          </w:p>
        </w:tc>
      </w:tr>
      <w:tr w14:paraId="56970A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682" w:type="dxa"/>
            <w:tcBorders>
              <w:top w:val="nil"/>
              <w:left w:val="single" w:color="000000" w:sz="18" w:space="0"/>
              <w:bottom w:val="single" w:color="000000" w:sz="18" w:space="0"/>
              <w:right w:val="single" w:color="000000" w:sz="18" w:space="0"/>
            </w:tcBorders>
            <w:shd w:val="clear" w:color="auto" w:fill="FFFFFF"/>
            <w:vAlign w:val="center"/>
          </w:tcPr>
          <w:p w14:paraId="72E64B48">
            <w:pPr>
              <w:autoSpaceDE w:val="0"/>
              <w:autoSpaceDN w:val="0"/>
              <w:adjustRightInd w:val="0"/>
              <w:spacing w:after="0" w:line="320" w:lineRule="atLeast"/>
              <w:ind w:left="60" w:right="60"/>
              <w:jc w:val="left"/>
              <w:rPr>
                <w:rFonts w:ascii="Arial" w:hAnsi="Arial" w:cs="Arial"/>
                <w:color w:val="000000"/>
                <w:sz w:val="18"/>
                <w:szCs w:val="18"/>
                <w:highlight w:val="none"/>
                <w:lang w:val="en-US"/>
              </w:rPr>
            </w:pPr>
            <w:r>
              <w:rPr>
                <w:rFonts w:ascii="Arial" w:hAnsi="Arial" w:cs="Arial"/>
                <w:color w:val="000000"/>
                <w:sz w:val="18"/>
                <w:szCs w:val="18"/>
                <w:highlight w:val="none"/>
                <w:lang w:val="en-US"/>
              </w:rPr>
              <w:t>Valid N (listwise)</w:t>
            </w:r>
          </w:p>
        </w:tc>
        <w:tc>
          <w:tcPr>
            <w:tcW w:w="994" w:type="dxa"/>
            <w:tcBorders>
              <w:top w:val="nil"/>
              <w:left w:val="single" w:color="000000" w:sz="18" w:space="0"/>
              <w:bottom w:val="single" w:color="000000" w:sz="18" w:space="0"/>
              <w:right w:val="single" w:color="000000" w:sz="8" w:space="0"/>
            </w:tcBorders>
            <w:shd w:val="clear" w:color="auto" w:fill="FFFFFF"/>
          </w:tcPr>
          <w:p w14:paraId="7EDD4981">
            <w:pPr>
              <w:autoSpaceDE w:val="0"/>
              <w:autoSpaceDN w:val="0"/>
              <w:adjustRightInd w:val="0"/>
              <w:spacing w:after="0" w:line="320" w:lineRule="atLeast"/>
              <w:ind w:left="60" w:right="60"/>
              <w:jc w:val="right"/>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1055" w:type="dxa"/>
            <w:tcBorders>
              <w:top w:val="nil"/>
              <w:left w:val="single" w:color="000000" w:sz="8" w:space="0"/>
              <w:bottom w:val="single" w:color="000000" w:sz="18" w:space="0"/>
              <w:right w:val="single" w:color="000000" w:sz="8" w:space="0"/>
            </w:tcBorders>
            <w:shd w:val="clear" w:color="auto" w:fill="FFFFFF"/>
          </w:tcPr>
          <w:p w14:paraId="1E5B584E">
            <w:pPr>
              <w:autoSpaceDE w:val="0"/>
              <w:autoSpaceDN w:val="0"/>
              <w:adjustRightInd w:val="0"/>
              <w:spacing w:after="0" w:line="240" w:lineRule="auto"/>
              <w:jc w:val="left"/>
              <w:rPr>
                <w:rFonts w:cs="Times New Roman"/>
                <w:szCs w:val="24"/>
                <w:highlight w:val="none"/>
                <w:lang w:val="en-US"/>
              </w:rPr>
            </w:pPr>
          </w:p>
        </w:tc>
        <w:tc>
          <w:tcPr>
            <w:tcW w:w="1086" w:type="dxa"/>
            <w:tcBorders>
              <w:top w:val="nil"/>
              <w:left w:val="single" w:color="000000" w:sz="8" w:space="0"/>
              <w:bottom w:val="single" w:color="000000" w:sz="18" w:space="0"/>
              <w:right w:val="single" w:color="000000" w:sz="8" w:space="0"/>
            </w:tcBorders>
            <w:shd w:val="clear" w:color="auto" w:fill="FFFFFF"/>
          </w:tcPr>
          <w:p w14:paraId="0DFDAAB4">
            <w:pPr>
              <w:autoSpaceDE w:val="0"/>
              <w:autoSpaceDN w:val="0"/>
              <w:adjustRightInd w:val="0"/>
              <w:spacing w:after="0" w:line="240" w:lineRule="auto"/>
              <w:jc w:val="left"/>
              <w:rPr>
                <w:rFonts w:cs="Times New Roman"/>
                <w:szCs w:val="24"/>
                <w:highlight w:val="none"/>
                <w:lang w:val="en-US"/>
              </w:rPr>
            </w:pPr>
          </w:p>
        </w:tc>
        <w:tc>
          <w:tcPr>
            <w:tcW w:w="994" w:type="dxa"/>
            <w:tcBorders>
              <w:top w:val="nil"/>
              <w:left w:val="single" w:color="000000" w:sz="8" w:space="0"/>
              <w:bottom w:val="single" w:color="000000" w:sz="18" w:space="0"/>
              <w:right w:val="single" w:color="000000" w:sz="8" w:space="0"/>
            </w:tcBorders>
            <w:shd w:val="clear" w:color="auto" w:fill="FFFFFF"/>
          </w:tcPr>
          <w:p w14:paraId="29D4FF94">
            <w:pPr>
              <w:autoSpaceDE w:val="0"/>
              <w:autoSpaceDN w:val="0"/>
              <w:adjustRightInd w:val="0"/>
              <w:spacing w:after="0" w:line="240" w:lineRule="auto"/>
              <w:jc w:val="left"/>
              <w:rPr>
                <w:rFonts w:cs="Times New Roman"/>
                <w:szCs w:val="24"/>
                <w:highlight w:val="none"/>
                <w:lang w:val="en-US"/>
              </w:rPr>
            </w:pPr>
          </w:p>
        </w:tc>
        <w:tc>
          <w:tcPr>
            <w:tcW w:w="1422" w:type="dxa"/>
            <w:tcBorders>
              <w:top w:val="nil"/>
              <w:left w:val="single" w:color="000000" w:sz="8" w:space="0"/>
              <w:bottom w:val="single" w:color="000000" w:sz="18" w:space="0"/>
              <w:right w:val="single" w:color="000000" w:sz="8" w:space="0"/>
            </w:tcBorders>
            <w:shd w:val="clear" w:color="auto" w:fill="FFFFFF"/>
          </w:tcPr>
          <w:p w14:paraId="7DD443EE">
            <w:pPr>
              <w:autoSpaceDE w:val="0"/>
              <w:autoSpaceDN w:val="0"/>
              <w:adjustRightInd w:val="0"/>
              <w:spacing w:after="0" w:line="240" w:lineRule="auto"/>
              <w:jc w:val="left"/>
              <w:rPr>
                <w:rFonts w:cs="Times New Roman"/>
                <w:szCs w:val="24"/>
                <w:highlight w:val="none"/>
                <w:lang w:val="en-US"/>
              </w:rPr>
            </w:pPr>
          </w:p>
        </w:tc>
        <w:tc>
          <w:tcPr>
            <w:tcW w:w="994" w:type="dxa"/>
            <w:tcBorders>
              <w:top w:val="nil"/>
              <w:left w:val="single" w:color="000000" w:sz="8" w:space="0"/>
              <w:bottom w:val="single" w:color="000000" w:sz="18" w:space="0"/>
              <w:right w:val="single" w:color="000000" w:sz="8" w:space="0"/>
            </w:tcBorders>
            <w:shd w:val="clear" w:color="auto" w:fill="FFFFFF"/>
          </w:tcPr>
          <w:p w14:paraId="55B06C2D">
            <w:pPr>
              <w:autoSpaceDE w:val="0"/>
              <w:autoSpaceDN w:val="0"/>
              <w:adjustRightInd w:val="0"/>
              <w:spacing w:after="0" w:line="240" w:lineRule="auto"/>
              <w:jc w:val="left"/>
              <w:rPr>
                <w:rFonts w:cs="Times New Roman"/>
                <w:szCs w:val="24"/>
                <w:highlight w:val="none"/>
                <w:lang w:val="en-US"/>
              </w:rPr>
            </w:pPr>
          </w:p>
        </w:tc>
        <w:tc>
          <w:tcPr>
            <w:tcW w:w="1055" w:type="dxa"/>
            <w:tcBorders>
              <w:top w:val="nil"/>
              <w:left w:val="single" w:color="000000" w:sz="8" w:space="0"/>
              <w:bottom w:val="single" w:color="000000" w:sz="18" w:space="0"/>
              <w:right w:val="single" w:color="000000" w:sz="18" w:space="0"/>
            </w:tcBorders>
            <w:shd w:val="clear" w:color="auto" w:fill="FFFFFF"/>
          </w:tcPr>
          <w:p w14:paraId="1CFD32E2">
            <w:pPr>
              <w:autoSpaceDE w:val="0"/>
              <w:autoSpaceDN w:val="0"/>
              <w:adjustRightInd w:val="0"/>
              <w:spacing w:after="0" w:line="240" w:lineRule="auto"/>
              <w:jc w:val="left"/>
              <w:rPr>
                <w:rFonts w:cs="Times New Roman"/>
                <w:szCs w:val="24"/>
                <w:highlight w:val="none"/>
                <w:lang w:val="en-US"/>
              </w:rPr>
            </w:pPr>
          </w:p>
        </w:tc>
      </w:tr>
    </w:tbl>
    <w:p w14:paraId="242EA6DA">
      <w:pPr>
        <w:autoSpaceDE w:val="0"/>
        <w:autoSpaceDN w:val="0"/>
        <w:adjustRightInd w:val="0"/>
        <w:spacing w:after="0" w:line="400" w:lineRule="atLeast"/>
        <w:rPr>
          <w:rFonts w:cs="Times New Roman"/>
          <w:szCs w:val="24"/>
          <w:highlight w:val="none"/>
          <w:lang w:val="en-US"/>
        </w:rPr>
      </w:pPr>
      <w:r>
        <w:rPr>
          <w:rFonts w:cs="Times New Roman"/>
          <w:szCs w:val="24"/>
          <w:highlight w:val="none"/>
          <w:lang w:val="en-US"/>
        </w:rPr>
        <w:t>All the further frequency table tests will be demonstrated in the Appendix for better construction of the findings and further discussion. Moreover, T-Test and the Pearson correlation test are also included in the Appendix.</w:t>
      </w:r>
    </w:p>
    <w:p w14:paraId="09F6F49C">
      <w:pPr>
        <w:autoSpaceDE w:val="0"/>
        <w:autoSpaceDN w:val="0"/>
        <w:adjustRightInd w:val="0"/>
        <w:spacing w:after="0" w:line="240" w:lineRule="auto"/>
        <w:jc w:val="left"/>
        <w:rPr>
          <w:rFonts w:cs="Times New Roman"/>
          <w:szCs w:val="24"/>
          <w:highlight w:val="none"/>
          <w:lang w:val="en-US"/>
        </w:rPr>
      </w:pPr>
    </w:p>
    <w:p w14:paraId="4AABB13A">
      <w:pPr>
        <w:spacing w:line="256" w:lineRule="auto"/>
        <w:jc w:val="left"/>
        <w:rPr>
          <w:rFonts w:eastAsiaTheme="majorEastAsia" w:cstheme="majorBidi"/>
          <w:b/>
          <w:color w:val="000000" w:themeColor="text1"/>
          <w:sz w:val="32"/>
          <w:szCs w:val="40"/>
          <w:highlight w:val="none"/>
          <w:u w:val="double"/>
          <w:lang w:val="en-US"/>
          <w14:textFill>
            <w14:solidFill>
              <w14:schemeClr w14:val="tx1"/>
            </w14:solidFill>
          </w14:textFill>
        </w:rPr>
      </w:pPr>
      <w:r>
        <w:rPr>
          <w:sz w:val="32"/>
          <w:szCs w:val="40"/>
          <w:highlight w:val="none"/>
          <w:u w:val="double"/>
          <w:lang w:val="en-US"/>
        </w:rPr>
        <w:br w:type="page"/>
      </w:r>
    </w:p>
    <w:p w14:paraId="753BFBDE">
      <w:pPr>
        <w:pStyle w:val="2"/>
        <w:numPr>
          <w:ilvl w:val="0"/>
          <w:numId w:val="0"/>
        </w:numPr>
        <w:ind w:left="432" w:hanging="432"/>
        <w:jc w:val="left"/>
        <w:rPr>
          <w:sz w:val="32"/>
          <w:szCs w:val="40"/>
          <w:highlight w:val="none"/>
          <w:u w:val="double"/>
          <w:lang w:val="en-US"/>
        </w:rPr>
      </w:pPr>
      <w:r>
        <w:rPr>
          <w:sz w:val="32"/>
          <w:szCs w:val="40"/>
          <w:highlight w:val="none"/>
          <w:u w:val="double"/>
          <w:lang w:val="en-US"/>
        </w:rPr>
        <w:t xml:space="preserve">CHAPTER FIVE </w:t>
      </w:r>
    </w:p>
    <w:p w14:paraId="1836CD1D">
      <w:pPr>
        <w:pStyle w:val="2"/>
        <w:numPr>
          <w:ilvl w:val="0"/>
          <w:numId w:val="4"/>
        </w:numPr>
        <w:rPr>
          <w:highlight w:val="none"/>
        </w:rPr>
      </w:pPr>
      <w:r>
        <w:rPr>
          <w:highlight w:val="none"/>
        </w:rPr>
        <w:t>Discussion</w:t>
      </w:r>
    </w:p>
    <w:p w14:paraId="57B8DAB4">
      <w:pPr>
        <w:rPr>
          <w:highlight w:val="none"/>
          <w:lang w:val="en-US"/>
        </w:rPr>
      </w:pPr>
      <w:r>
        <w:rPr>
          <w:highlight w:val="none"/>
          <w:lang w:val="en-US"/>
        </w:rPr>
        <w:t xml:space="preserve">The main issues raised in this chapter's discussion about the Kingdom of Saudi Arabia's (KSA) construction organisations' effective adoption of Quality Management Systems (QMS). The chapter thoroughly examines these difficulties, deriving conclusions from the study results discussed in Chapter 4. This debate aims to advance awareness of the obstacles preventing the successful adoption and implementation of QMS in the KSA construction industry by delving into the specifics of these difficulties. However, this study has been successfully measure the respondent activities towards the QMS in the KSA. To take the response to question 3: most respondents Strongly agreed with asking, "Poor communication among various teams in the organisations is a major challenge to the effective QMS implementation". The higher respondent, such as 154 responses, has been intellectual in favour of Q,3, and a higher percentage, 54% of participants, has been intellectual with this question (See Appendix 2). To take the response to question 4: most respondents Strongly agreed with asking, "Top management commitment towards quality is a major challenge to effective QMS implementation". The higher respondent, such as 155 responses, has been intellectual in favour of Q4, and a higher percentage, 55% of participants, has been intellectual with this question (See Appendix 2). To take the response to question 5: most respondents agreed to ask, "Planning of interdisciplinary activities poses a major challenge to the effective QMS implementation". The higher respondent, such as 154 responses, has been intellectual in favour of Q,5, and a higher percentage, 54% of participants, has been intellectual with this question (See Appendix 2). To take the response to question 6: most respondents agreed to ask, "Inadequate resource availability is a major challenge to effective QMS implementation". The higher respondent, such as 154 responses has, been intellectual in favour of Q6, and th,e higher percentage, 54% of participants, has been intellectual with this question (See Appendix 2). </w:t>
      </w:r>
    </w:p>
    <w:p w14:paraId="1EDE8477">
      <w:pPr>
        <w:adjustRightInd w:val="0"/>
        <w:rPr>
          <w:rFonts w:cs="Times New Roman"/>
          <w:szCs w:val="24"/>
          <w:highlight w:val="none"/>
          <w:lang w:val="en-US"/>
        </w:rPr>
      </w:pPr>
      <w:r>
        <w:rPr>
          <w:rFonts w:cs="Times New Roman"/>
          <w:szCs w:val="24"/>
          <w:highlight w:val="none"/>
          <w:lang w:val="en-US"/>
        </w:rPr>
        <w:t xml:space="preserve">To take the response to question 7: most respondents agreed to ask, "Complex Supply Chain Management is a major challenge to effective QMS implementation". The higher respondent, such as 154 responses, has been intellectual in favour of Q7, and a higher percentage, 54% of participants, has been intellectual with this question (See Appendix 2). To take the response to question 8: most of the respondents Strongly agreed with asking, "Awarding the contract to the lowest bidder is ultimately shall be the major challenge to the effective QMS implementation". The higher respondent, such as 154 responses, has been intellectual in favour of Q8, and a higher percentage, 54% of participants, has been intellectual with this question (See Appendix 2). To take the response to question 9: most respondents agreed to ask, "Resistance to change within the organisation is a major challenge to effective QMS implementation". The higher respondent, such as 154 responses, has, been intellectual in favour of Q9, and a higher percentage 54% of participants, has been intellectual with this question (See Appendix 2). To take the response to question 10: most respondents Strongly agreed with asking, "Code requirement for construction activities is a major challenge to the QMS implementation". The higher respondent, such as 155 responses, has been intellectual in favour of Q10, and the higher per cent, 55% of participants, has been intellectual with this question (See Appendix 2). To take the response to question 11: most respondents agreed to ask, "Complex design during the construction work is a major challenge to the effective QMS implementation". The higher respondent, such as 154 responses, has, been intellectual in favour of Q11, and a higher percentage,54% of participants, has been intellectual with this question. </w:t>
      </w:r>
    </w:p>
    <w:p w14:paraId="0E8FBA57">
      <w:pPr>
        <w:adjustRightInd w:val="0"/>
        <w:rPr>
          <w:rFonts w:cs="Times New Roman"/>
          <w:szCs w:val="24"/>
          <w:highlight w:val="none"/>
          <w:lang w:val="en-US"/>
        </w:rPr>
      </w:pPr>
      <w:r>
        <w:rPr>
          <w:rFonts w:cs="Times New Roman"/>
          <w:szCs w:val="24"/>
          <w:highlight w:val="none"/>
          <w:lang w:val="en-US"/>
        </w:rPr>
        <w:t xml:space="preserve">To take the response to question 12: most respondents Strongly agreed with asking, "Environmental Conditions/ External Factor is a major challenge to the effective QMS implementation". The higher respondent, such as 157 responses, has, been intellectual in favour of Q12, and a higher percentage,54% of participants, has been intellectual with this question (See Appendix 2). To take the response to question 13: most respondents agreed with asking, "Low Salary of Workers is a major challenge to the effective QMS implementation". The higher respondent, such as 154 responses, has, been intellectual in favour of Q13, and a higher percentage, 54% of participants, has been intellectual with this question (See Appendix 2). To take the response to question 14: most respondents Strongly agreed with asking, "Paperwork of quality personnel is a major challenge to the effective QMS implementation". The higher respondent, such as 155 responses, has been intellectual in favour of Q14, and a higher percentage,e 55% of participants, has been intellectual with this question (See Appendix 2). To take the response to question 15: most respondents agreed to ask, "Tight Schedule of Project is a major challenge to the effective QMS implementation". The higher respondent, such as 155 responses, has been intellectual in favour of Q15, and a higher percentage, 5,5% of participants, has been intellectual with this question. Another test has been considered in this study, which is the T-test, that has been implementing the mean of a single prediction of the value that would be determining the sample mean that has been significant with the graters or less the values; however, the P-value has been lesser than 0.5 which indicating that the T-test is statistically significant for this study. Similar to the discussion, orienting the QMS system has been considered a crucial part of the construction industry until it would be helped in the project and compliance with success and client satisfaction. As the </w:t>
      </w:r>
      <w:r>
        <w:rPr>
          <w:color w:val="000000"/>
          <w:highlight w:val="none"/>
          <w:shd w:val="clear" w:color="auto" w:fill="FFFFFF"/>
        </w:rPr>
        <w:t>Mohamed Essam Shaawat et al., (2023)</w:t>
      </w:r>
      <w:r>
        <w:rPr>
          <w:rFonts w:cs="Times New Roman"/>
          <w:szCs w:val="24"/>
          <w:highlight w:val="none"/>
          <w:lang w:val="en-US"/>
        </w:rPr>
        <w:t xml:space="preserve"> reveals that the benchmarking for the implication has been efficient in the management and the procedure of control around the numerous industries and the sectors with the ISO 9000 series that would be determined with the QMS model that has been supporting the proponents of the quality management. these construction companies had embraced the model that would support ISO 9001. The numerous advantages that have been considered with a framework in the simplest version of their operations are discussed in the discussion. To standardise the process. With a client-focused mindset. The study has been emphasised with the professionals affiliated with the ISO-TC 176 that had significantly contributed to the agreements of the skills and knowledge in developing ISO 9001 standards. As per </w:t>
      </w:r>
      <w:r>
        <w:rPr>
          <w:color w:val="000000"/>
          <w:highlight w:val="none"/>
          <w:shd w:val="clear" w:color="auto" w:fill="FFFFFF"/>
        </w:rPr>
        <w:t>Ali, Al-Sulaihi and Al-Gahtani, (2013)</w:t>
      </w:r>
      <w:r>
        <w:rPr>
          <w:rFonts w:cs="Times New Roman"/>
          <w:szCs w:val="24"/>
          <w:highlight w:val="none"/>
          <w:lang w:val="en-US"/>
        </w:rPr>
        <w:t xml:space="preserve">, the Partnership has been invaded with the grounded research that has been developing in the construction sectors to the profound form the wider used and the success of QMS model that has been constructed in the industry of the KSA that has been larger in the quick version of the enhancing sectors. This study will deceased the copro atonal culture in the organisational techniques in the labour and material supply chain, and the management skills have been distinctive and give the industry a competitive advantage in the construction market. According to the study </w:t>
      </w:r>
      <w:r>
        <w:rPr>
          <w:color w:val="000000"/>
          <w:highlight w:val="none"/>
          <w:shd w:val="clear" w:color="auto" w:fill="FFFFFF"/>
        </w:rPr>
        <w:t>(Hamad Almujibah, 2023)</w:t>
      </w:r>
      <w:r>
        <w:rPr>
          <w:rFonts w:cs="Times New Roman"/>
          <w:szCs w:val="24"/>
          <w:highlight w:val="none"/>
          <w:lang w:val="en-US"/>
        </w:rPr>
        <w:t xml:space="preserve">, similar to the literature on the QMS, the KSA construction has been scared off compared to the other regions. The construction period would be acknowledging the essential quality management systems that have been outcoming in the generation and executing the systems and techniques. This study will also be considered the development of proficient quality management, and it would be considered the quality profile that has been related to the corporation, which has been critical in the unsatisfactory management with the delivery outcomes. In contrast, this stud has been discussing the regression analysis towards the analysis of the efficient TQM in the KSA construction sectors that would be focused on dimension management, quality control and the assurance of discoveries with quality management and the assurance of positive influence on the project with the whole quality. This study will also discuss and assert that developing and implementing a standardised Quality Management System (QMS) within an organisation requires effective information system management, quality reporting documentation, meticulous recording of quality-related data such as inspections and identified issues, and collaboration among stakeholders to address these issues and ensure intended quality control. Furthermore, Riaz et al. (2023) emphasised the critical requirement to supply quality projects and services in the Saudi construction sector, which involves effectively implementing a Quality Management System (QMS). Nonetheless, the Saudi construction industry's unique peculiarities render conventional QMS recommendations inapplicable. The study has been discussing the challenges that had been linked with the implementation of MS has been constructing with the construction that would be posted on significant managers' challenges. Meanwhile, the QMS has been potentially addressing the long-lasting problems in the construction that would be hindering the prevalence of systems. As () reveals, in contrast, that the higher cost of the QMS would be deterred with the simplified enterprises from embracing the potential benefits. As per </w:t>
      </w:r>
      <w:r>
        <w:rPr>
          <w:color w:val="000000"/>
          <w:highlight w:val="none"/>
          <w:shd w:val="clear" w:color="auto" w:fill="FFFFFF"/>
        </w:rPr>
        <w:t>(Yaser Hasan Al-Mamary, 2022)</w:t>
      </w:r>
      <w:r>
        <w:rPr>
          <w:rFonts w:cs="Times New Roman"/>
          <w:szCs w:val="24"/>
          <w:highlight w:val="none"/>
          <w:lang w:val="en-US"/>
        </w:rPr>
        <w:t xml:space="preserve">, the larger barrier has been revealed with the construction that would be adopted n the QMS. these reasons would be considered in their investigation of the QMS in the corporation that has been efficient towards the construction process. This study would also emphasise adopting the challenges from the pre-existing quality management system in the KSA that would be constructing the corporation to enhance the empirical consideration. However, this study has been found as the prior obstacle towards implementing the techniques and approaches in the areas of the corporation that have been implemented in the QMS to be classified into two major categories: organisation and cultural strategy. This study would face several challenges from the corporation: a desire to resolve a management tendency in favour of constructions as the least tendency. Furthermore, this study has emphasised the insufficient direction to project teams, which is critical in ensuring staff members have the necessary knowledge and acclimation to the Quality Management System (QMS) standards, which may contribute to the capacity deficit ().  However, according to </w:t>
      </w:r>
      <w:r>
        <w:rPr>
          <w:color w:val="000000"/>
          <w:highlight w:val="none"/>
          <w:shd w:val="clear" w:color="auto" w:fill="FFFFFF"/>
        </w:rPr>
        <w:t>(Yusuf, 2023)</w:t>
      </w:r>
      <w:r>
        <w:rPr>
          <w:rFonts w:cs="Times New Roman"/>
          <w:szCs w:val="24"/>
          <w:highlight w:val="none"/>
          <w:lang w:val="en-US"/>
        </w:rPr>
        <w:t xml:space="preserve">, the issue of management commitment in the construction industry is tied to two factors: the requirement for senior management to recognise the benefits of implementing a QMS and senior management's tendency to emphasise time and budgets over quality. According to </w:t>
      </w:r>
      <w:r>
        <w:rPr>
          <w:color w:val="000000"/>
          <w:highlight w:val="none"/>
          <w:shd w:val="clear" w:color="auto" w:fill="FFFFFF"/>
        </w:rPr>
        <w:t>(Faqihi and Shah Jahan Miah, 2023)</w:t>
      </w:r>
      <w:r>
        <w:rPr>
          <w:rFonts w:cs="Times New Roman"/>
          <w:szCs w:val="24"/>
          <w:highlight w:val="none"/>
          <w:lang w:val="en-US"/>
        </w:rPr>
        <w:t xml:space="preserve">, lack of awareness and expertise have been identified as key barriers to establishing a QMS in the construction business. Furthermore, </w:t>
      </w:r>
      <w:r>
        <w:rPr>
          <w:color w:val="000000"/>
          <w:highlight w:val="none"/>
          <w:shd w:val="clear" w:color="auto" w:fill="FFFFFF"/>
        </w:rPr>
        <w:t xml:space="preserve">(Naif Al Azmi et al., 2022) </w:t>
      </w:r>
      <w:r>
        <w:rPr>
          <w:rFonts w:cs="Times New Roman"/>
          <w:szCs w:val="24"/>
          <w:highlight w:val="none"/>
          <w:lang w:val="en-US"/>
        </w:rPr>
        <w:t xml:space="preserve">investigated the primary challenges to developing a QMS in the construction sector. This study will discuss the major barriers towards adopting the QMS that has been efficient with the communication, which has been requiring the successful implementation of the QMS inside and outside the corporation. As per </w:t>
      </w:r>
      <w:r>
        <w:rPr>
          <w:color w:val="000000"/>
          <w:highlight w:val="none"/>
          <w:shd w:val="clear" w:color="auto" w:fill="FFFFFF"/>
        </w:rPr>
        <w:t xml:space="preserve">(Bernardus Ariono, Meditya Wasesa and Wawan Dhewanto, 2022) </w:t>
      </w:r>
      <w:r>
        <w:rPr>
          <w:rFonts w:cs="Times New Roman"/>
          <w:szCs w:val="24"/>
          <w:highlight w:val="none"/>
          <w:lang w:val="en-US"/>
        </w:rPr>
        <w:t xml:space="preserve">poor communication in discussion with the construction of the sectors is ascribed to the absence of knowledge and resources. The insufficient training and the miscommunication between the staff members due to the challenges have been highlighted by the atrial perception of QMS application that would be causing the distribution of lower productivity with the multicultural working environment that has been leading to discrepancies in the QMS resistance to the current practices. Many studies have been referring to the construction organisation where it would discuss the quality performance in the construction manufacture. The procedures have been designed for the manufacturer as ben profound under the particular standards towards achieving satisfaction and the value-added investment. Similar to the context, sustainable construction has projects to the desire towards finishing under the quality of finished under the construction cost and the time. Moreover, the construction phase has been considered with the measurement o the reconstruction project performance. The construction phase has been followed with standardised mutual agreements over the project participation included in the construction project sharing with the distinctive aspect across the quality </w:t>
      </w:r>
      <w:r>
        <w:rPr>
          <w:color w:val="000000"/>
          <w:highlight w:val="none"/>
          <w:shd w:val="clear" w:color="auto" w:fill="FFFFFF"/>
        </w:rPr>
        <w:t>(Badr Alsolami, 2022)</w:t>
      </w:r>
      <w:r>
        <w:rPr>
          <w:rFonts w:cs="Times New Roman"/>
          <w:szCs w:val="24"/>
          <w:highlight w:val="none"/>
          <w:lang w:val="en-US"/>
        </w:rPr>
        <w:t>. Quality is influenced by project owner requirements, project environment, project manager, project methodologies, and project management. Research has revealed several aspects that influence quality and specify various performance metrics, which are described further in future research. The main performance indicators for quality and their implications are not well-defined for these projects. Therefore, many inputs are relied on unstructured expert judgement, causing substantial disputes between owners and contractors. A structured and well-defined procedure is necessary to determine the impact of quality elements on project performance. A strategy like this would help decision-makers minimise their impact during the planning stage. Owners require accurate historical performance data from all past projects to aid decision-making throughout the bidding stage. A performance quality index (PQI) framework must be developed to assist decision-makers in assessing the performance of contractors in the sustainable building area during the project's construction phase.</w:t>
      </w:r>
      <w:r>
        <w:rPr>
          <w:rFonts w:cs="Times New Roman"/>
          <w:szCs w:val="24"/>
          <w:highlight w:val="none"/>
          <w:lang w:val="en-US"/>
        </w:rPr>
        <w:br w:type="page"/>
      </w:r>
    </w:p>
    <w:p w14:paraId="72062D88">
      <w:pPr>
        <w:pStyle w:val="2"/>
        <w:numPr>
          <w:ilvl w:val="0"/>
          <w:numId w:val="0"/>
        </w:numPr>
        <w:ind w:left="432"/>
        <w:rPr>
          <w:highlight w:val="none"/>
          <w:lang w:val="en-US"/>
        </w:rPr>
      </w:pPr>
      <w:r>
        <w:rPr>
          <w:highlight w:val="none"/>
          <w:lang w:val="en-US"/>
        </w:rPr>
        <w:t>References</w:t>
      </w:r>
      <w:r>
        <w:rPr>
          <w:highlight w:val="none"/>
          <w:lang w:val="en-US"/>
        </w:rPr>
        <w:tab/>
      </w:r>
    </w:p>
    <w:p w14:paraId="5ABEAE86">
      <w:pPr>
        <w:ind w:left="720" w:hanging="720"/>
        <w:rPr>
          <w:highlight w:val="none"/>
          <w:shd w:val="clear" w:color="auto" w:fill="FFFFFF"/>
        </w:rPr>
      </w:pPr>
      <w:r>
        <w:rPr>
          <w:highlight w:val="none"/>
          <w:shd w:val="clear" w:color="auto" w:fill="FFFFFF"/>
        </w:rPr>
        <w:t>Adekunle, P., Aigbavboa, C., Akinradewo, O., Oke, A. and Aghimien, D., (2022) Construction Information Management: Benefits to the Construction Industry. </w:t>
      </w:r>
      <w:r>
        <w:rPr>
          <w:i/>
          <w:iCs/>
          <w:highlight w:val="none"/>
          <w:shd w:val="clear" w:color="auto" w:fill="FFFFFF"/>
        </w:rPr>
        <w:t>Sustainability</w:t>
      </w:r>
      <w:r>
        <w:rPr>
          <w:highlight w:val="none"/>
          <w:shd w:val="clear" w:color="auto" w:fill="FFFFFF"/>
        </w:rPr>
        <w:t>, </w:t>
      </w:r>
      <w:r>
        <w:rPr>
          <w:i/>
          <w:iCs/>
          <w:highlight w:val="none"/>
          <w:shd w:val="clear" w:color="auto" w:fill="FFFFFF"/>
        </w:rPr>
        <w:t>14</w:t>
      </w:r>
      <w:r>
        <w:rPr>
          <w:highlight w:val="none"/>
          <w:shd w:val="clear" w:color="auto" w:fill="FFFFFF"/>
        </w:rPr>
        <w:t>(18), p.11366.</w:t>
      </w:r>
    </w:p>
    <w:p w14:paraId="12B35600">
      <w:pPr>
        <w:ind w:left="720" w:hanging="720"/>
        <w:rPr>
          <w:highlight w:val="none"/>
          <w:shd w:val="clear" w:color="auto" w:fill="FFFFFF"/>
        </w:rPr>
      </w:pPr>
      <w:r>
        <w:rPr>
          <w:highlight w:val="none"/>
          <w:shd w:val="clear" w:color="auto" w:fill="FFFFFF"/>
        </w:rPr>
        <w:t>Trigunarsyah, B., Moohialdin, A. and Islam, M.S., (2023) Quality management system framework for construction companies in the Kingdom of Saudi Arabia. International Journal of Productivity and Quality Management, 39(3), pp.302-329.</w:t>
      </w:r>
    </w:p>
    <w:p w14:paraId="079F1CAF">
      <w:pPr>
        <w:ind w:left="720" w:hanging="720"/>
        <w:rPr>
          <w:highlight w:val="none"/>
          <w:shd w:val="clear" w:color="auto" w:fill="FFFFFF"/>
        </w:rPr>
      </w:pPr>
      <w:r>
        <w:rPr>
          <w:highlight w:val="none"/>
          <w:shd w:val="clear" w:color="auto" w:fill="FFFFFF"/>
        </w:rPr>
        <w:t>Ahmed, M.A., (2020) An exploration of factors influencing Quality Management System (QMS) implementation: The case of the Australian construction industry (Doctoral dissertation, Queensland University of Technology).</w:t>
      </w:r>
    </w:p>
    <w:p w14:paraId="09057E24">
      <w:pPr>
        <w:ind w:left="720" w:hanging="720"/>
        <w:rPr>
          <w:rFonts w:eastAsia="Times New Roman" w:cs="Times New Roman"/>
          <w:color w:val="000000"/>
          <w:szCs w:val="24"/>
          <w:highlight w:val="none"/>
        </w:rPr>
      </w:pPr>
      <w:r>
        <w:rPr>
          <w:highlight w:val="none"/>
          <w:shd w:val="clear" w:color="auto" w:fill="FFFFFF"/>
        </w:rPr>
        <w:t>Aichouni, M., Touahmia, M., Alshammari, S., Said, M.A., Aichouni, A.B.E., Almudayries, M. and Aljohani, H., (2023) An empirical study of the contribution of total quality management to occupational safety and health performance in Saudi organisations. </w:t>
      </w:r>
      <w:r>
        <w:rPr>
          <w:i/>
          <w:iCs/>
          <w:highlight w:val="none"/>
          <w:shd w:val="clear" w:color="auto" w:fill="FFFFFF"/>
        </w:rPr>
        <w:t>International journal of environmental research and public health</w:t>
      </w:r>
      <w:r>
        <w:rPr>
          <w:highlight w:val="none"/>
          <w:shd w:val="clear" w:color="auto" w:fill="FFFFFF"/>
        </w:rPr>
        <w:t>, </w:t>
      </w:r>
      <w:r>
        <w:rPr>
          <w:i/>
          <w:iCs/>
          <w:highlight w:val="none"/>
          <w:shd w:val="clear" w:color="auto" w:fill="FFFFFF"/>
        </w:rPr>
        <w:t>20</w:t>
      </w:r>
      <w:r>
        <w:rPr>
          <w:highlight w:val="none"/>
          <w:shd w:val="clear" w:color="auto" w:fill="FFFFFF"/>
        </w:rPr>
        <w:t>(2), p.1495.</w:t>
      </w:r>
      <w:r>
        <w:rPr>
          <w:rFonts w:eastAsia="Times New Roman" w:cs="Times New Roman"/>
          <w:color w:val="000000"/>
          <w:szCs w:val="24"/>
          <w:highlight w:val="none"/>
        </w:rPr>
        <w:t xml:space="preserve"> ‌</w:t>
      </w:r>
    </w:p>
    <w:p w14:paraId="3D8B793B">
      <w:pPr>
        <w:ind w:left="720" w:hanging="720"/>
        <w:rPr>
          <w:highlight w:val="none"/>
          <w:shd w:val="clear" w:color="auto" w:fill="FFFFFF"/>
        </w:rPr>
      </w:pPr>
      <w:r>
        <w:rPr>
          <w:highlight w:val="none"/>
          <w:shd w:val="clear" w:color="auto" w:fill="FFFFFF"/>
        </w:rPr>
        <w:t>Akinnusi, D.T. and Nel, H., (2020) Impact of the ISO 9001: 2008 Quality Management System on Project Success in a South African Construction Firm. In </w:t>
      </w:r>
      <w:r>
        <w:rPr>
          <w:i/>
          <w:iCs/>
          <w:highlight w:val="none"/>
          <w:shd w:val="clear" w:color="auto" w:fill="FFFFFF"/>
        </w:rPr>
        <w:t>Proceedings of the International Conference on Industrial Engineering and Operations Management</w:t>
      </w:r>
      <w:r>
        <w:rPr>
          <w:highlight w:val="none"/>
          <w:shd w:val="clear" w:color="auto" w:fill="FFFFFF"/>
        </w:rPr>
        <w:t> (pp. 698-714).</w:t>
      </w:r>
    </w:p>
    <w:p w14:paraId="4E8B05FE">
      <w:pPr>
        <w:ind w:left="720" w:hanging="720"/>
        <w:rPr>
          <w:highlight w:val="none"/>
          <w:shd w:val="clear" w:color="auto" w:fill="FFFFFF"/>
        </w:rPr>
      </w:pPr>
      <w:r>
        <w:rPr>
          <w:highlight w:val="none"/>
          <w:shd w:val="clear" w:color="auto" w:fill="FFFFFF"/>
        </w:rPr>
        <w:t>Alawag, A.M., Alaloul, W.S., Liew, M.S., Musarat, M.A., Baarimah, A.O., Saad, S. and Ammad, S., (2023) Critical success factors influencing total quality management in industrialised building system: A case of the Malaysian construction industry. </w:t>
      </w:r>
      <w:r>
        <w:rPr>
          <w:i/>
          <w:iCs/>
          <w:highlight w:val="none"/>
          <w:shd w:val="clear" w:color="auto" w:fill="FFFFFF"/>
        </w:rPr>
        <w:t>Ain Shams Engineering Journal</w:t>
      </w:r>
      <w:r>
        <w:rPr>
          <w:highlight w:val="none"/>
          <w:shd w:val="clear" w:color="auto" w:fill="FFFFFF"/>
        </w:rPr>
        <w:t>, </w:t>
      </w:r>
      <w:r>
        <w:rPr>
          <w:i/>
          <w:iCs/>
          <w:highlight w:val="none"/>
          <w:shd w:val="clear" w:color="auto" w:fill="FFFFFF"/>
        </w:rPr>
        <w:t>14</w:t>
      </w:r>
      <w:r>
        <w:rPr>
          <w:highlight w:val="none"/>
          <w:shd w:val="clear" w:color="auto" w:fill="FFFFFF"/>
        </w:rPr>
        <w:t>(2), p.101877.</w:t>
      </w:r>
    </w:p>
    <w:p w14:paraId="29DB00B6">
      <w:pPr>
        <w:ind w:left="720" w:hanging="720"/>
        <w:rPr>
          <w:rFonts w:eastAsia="Times New Roman" w:cs="Times New Roman"/>
          <w:color w:val="000000"/>
          <w:szCs w:val="24"/>
          <w:highlight w:val="none"/>
        </w:rPr>
      </w:pPr>
      <w:r>
        <w:rPr>
          <w:highlight w:val="none"/>
          <w:shd w:val="clear" w:color="auto" w:fill="FFFFFF"/>
        </w:rPr>
        <w:t>Alghamdi, M.S., Beach, T.H. and Rezgui, Y., (2022) Reviewing the effects of deploying building information modelling (BIM) on adopting sustainable design in Gulf countries: a case study in Saudi Arabia. </w:t>
      </w:r>
      <w:r>
        <w:rPr>
          <w:i/>
          <w:iCs/>
          <w:highlight w:val="none"/>
          <w:shd w:val="clear" w:color="auto" w:fill="FFFFFF"/>
        </w:rPr>
        <w:t>City, Territory and Architecture</w:t>
      </w:r>
      <w:r>
        <w:rPr>
          <w:highlight w:val="none"/>
          <w:shd w:val="clear" w:color="auto" w:fill="FFFFFF"/>
        </w:rPr>
        <w:t>, </w:t>
      </w:r>
      <w:r>
        <w:rPr>
          <w:i/>
          <w:iCs/>
          <w:highlight w:val="none"/>
          <w:shd w:val="clear" w:color="auto" w:fill="FFFFFF"/>
        </w:rPr>
        <w:t>9</w:t>
      </w:r>
      <w:r>
        <w:rPr>
          <w:highlight w:val="none"/>
          <w:shd w:val="clear" w:color="auto" w:fill="FFFFFF"/>
        </w:rPr>
        <w:t>(1), pp.1-17.</w:t>
      </w:r>
      <w:r>
        <w:rPr>
          <w:rFonts w:eastAsia="Times New Roman" w:cs="Times New Roman"/>
          <w:color w:val="000000"/>
          <w:szCs w:val="24"/>
          <w:highlight w:val="none"/>
        </w:rPr>
        <w:t xml:space="preserve"> ‌</w:t>
      </w:r>
    </w:p>
    <w:p w14:paraId="469D1484">
      <w:pPr>
        <w:ind w:left="720" w:hanging="720"/>
        <w:rPr>
          <w:rFonts w:eastAsia="Times New Roman" w:cs="Times New Roman"/>
          <w:color w:val="000000"/>
          <w:szCs w:val="24"/>
          <w:highlight w:val="none"/>
        </w:rPr>
      </w:pPr>
      <w:r>
        <w:rPr>
          <w:highlight w:val="none"/>
          <w:shd w:val="clear" w:color="auto" w:fill="FFFFFF"/>
        </w:rPr>
        <w:t>Al-Jarf, R., (2022) The pandemic job market from the perspective of female languages and translation college graduates in Saudi Arabia: Crisis or opportunity. In </w:t>
      </w:r>
      <w:r>
        <w:rPr>
          <w:i/>
          <w:iCs/>
          <w:highlight w:val="none"/>
          <w:shd w:val="clear" w:color="auto" w:fill="FFFFFF"/>
        </w:rPr>
        <w:t>Science and Global Challenges of the 21st Century-Science and Technology: Proceedings of the International Perm Forum “Science and Global Challenges of the 21st Century”</w:t>
      </w:r>
      <w:r>
        <w:rPr>
          <w:highlight w:val="none"/>
          <w:shd w:val="clear" w:color="auto" w:fill="FFFFFF"/>
        </w:rPr>
        <w:t> (pp. 720-733). Springer International Publishing.</w:t>
      </w:r>
      <w:r>
        <w:rPr>
          <w:rFonts w:eastAsia="Times New Roman" w:cs="Times New Roman"/>
          <w:color w:val="000000"/>
          <w:szCs w:val="24"/>
          <w:highlight w:val="none"/>
        </w:rPr>
        <w:t xml:space="preserve"> ‌</w:t>
      </w:r>
    </w:p>
    <w:p w14:paraId="7EC090A8">
      <w:pPr>
        <w:ind w:left="720" w:hanging="720"/>
        <w:rPr>
          <w:highlight w:val="none"/>
        </w:rPr>
      </w:pPr>
      <w:r>
        <w:rPr>
          <w:highlight w:val="none"/>
          <w:shd w:val="clear" w:color="auto" w:fill="FFFFFF"/>
        </w:rPr>
        <w:t>Azmi, N.A., Sweis, G., Sweis, R. and Sammour, F., (2022) Exploring the implementation of blockchain for the supply chain resilience and sustainability of the construction industry in Saudi Arabia. </w:t>
      </w:r>
      <w:r>
        <w:rPr>
          <w:i/>
          <w:iCs/>
          <w:highlight w:val="none"/>
          <w:shd w:val="clear" w:color="auto" w:fill="FFFFFF"/>
        </w:rPr>
        <w:t>Sustainability</w:t>
      </w:r>
      <w:r>
        <w:rPr>
          <w:highlight w:val="none"/>
          <w:shd w:val="clear" w:color="auto" w:fill="FFFFFF"/>
        </w:rPr>
        <w:t>, </w:t>
      </w:r>
      <w:r>
        <w:rPr>
          <w:i/>
          <w:iCs/>
          <w:highlight w:val="none"/>
          <w:shd w:val="clear" w:color="auto" w:fill="FFFFFF"/>
        </w:rPr>
        <w:t>14</w:t>
      </w:r>
      <w:r>
        <w:rPr>
          <w:highlight w:val="none"/>
          <w:shd w:val="clear" w:color="auto" w:fill="FFFFFF"/>
        </w:rPr>
        <w:t>(11), p.6427.</w:t>
      </w:r>
    </w:p>
    <w:p w14:paraId="43FDF7AD">
      <w:pPr>
        <w:ind w:left="720" w:hanging="720"/>
        <w:rPr>
          <w:highlight w:val="none"/>
          <w:shd w:val="clear" w:color="auto" w:fill="FFFFFF"/>
        </w:rPr>
      </w:pPr>
      <w:r>
        <w:rPr>
          <w:highlight w:val="none"/>
          <w:shd w:val="clear" w:color="auto" w:fill="FFFFFF"/>
        </w:rPr>
        <w:t>Barbosa, L.C.F.M., de Oliveira, O.J., Machado, M.C., Morais, A.C.T., Bozola, P.M. and Santos, M.G.F., (2022) Lessons learned from quality management system ISO 9001: 2015 certification: practices and barrier identification from Brazilian industrial companies. </w:t>
      </w:r>
      <w:r>
        <w:rPr>
          <w:i/>
          <w:iCs/>
          <w:highlight w:val="none"/>
          <w:shd w:val="clear" w:color="auto" w:fill="FFFFFF"/>
        </w:rPr>
        <w:t>Benchmarking: An International Journal</w:t>
      </w:r>
      <w:r>
        <w:rPr>
          <w:highlight w:val="none"/>
          <w:shd w:val="clear" w:color="auto" w:fill="FFFFFF"/>
        </w:rPr>
        <w:t>, </w:t>
      </w:r>
      <w:r>
        <w:rPr>
          <w:i/>
          <w:iCs/>
          <w:highlight w:val="none"/>
          <w:shd w:val="clear" w:color="auto" w:fill="FFFFFF"/>
        </w:rPr>
        <w:t>29</w:t>
      </w:r>
      <w:r>
        <w:rPr>
          <w:highlight w:val="none"/>
          <w:shd w:val="clear" w:color="auto" w:fill="FFFFFF"/>
        </w:rPr>
        <w:t>(8), pp.2593-2614.</w:t>
      </w:r>
    </w:p>
    <w:p w14:paraId="5466EEC9">
      <w:pPr>
        <w:ind w:left="720" w:hanging="720"/>
        <w:rPr>
          <w:highlight w:val="none"/>
        </w:rPr>
      </w:pPr>
      <w:r>
        <w:rPr>
          <w:highlight w:val="none"/>
        </w:rPr>
        <w:t>British Assessment Bureau. (2019). </w:t>
      </w:r>
      <w:r>
        <w:rPr>
          <w:i/>
          <w:iCs/>
          <w:highlight w:val="none"/>
        </w:rPr>
        <w:t>The difference between Total Quality Management and Quality Management Systems</w:t>
      </w:r>
      <w:r>
        <w:rPr>
          <w:highlight w:val="none"/>
        </w:rPr>
        <w:t>. [online] Available at: https://www.british-assessment.co.uk/insights/tqm-vs-qms-the-difference-between-total-quality-management-and-quality-management-systems/ [Accessed 26 Jul. 2023].</w:t>
      </w:r>
    </w:p>
    <w:p w14:paraId="154B46BB">
      <w:pPr>
        <w:ind w:left="720" w:hanging="720"/>
        <w:rPr>
          <w:highlight w:val="none"/>
          <w:shd w:val="clear" w:color="auto" w:fill="FFFFFF"/>
        </w:rPr>
      </w:pPr>
      <w:r>
        <w:rPr>
          <w:highlight w:val="none"/>
          <w:shd w:val="clear" w:color="auto" w:fill="FFFFFF"/>
        </w:rPr>
        <w:t>Brooks, T., Gunning, J.G., Spillane, J.P. and Cole, J., (2021) Regulatory decoupling and the effectiveness of the ISO 9001 quality management system in the construction sector in the UK–a case study analysis. </w:t>
      </w:r>
      <w:r>
        <w:rPr>
          <w:i/>
          <w:iCs/>
          <w:highlight w:val="none"/>
          <w:shd w:val="clear" w:color="auto" w:fill="FFFFFF"/>
        </w:rPr>
        <w:t>Construction Management and Economics</w:t>
      </w:r>
      <w:r>
        <w:rPr>
          <w:highlight w:val="none"/>
          <w:shd w:val="clear" w:color="auto" w:fill="FFFFFF"/>
        </w:rPr>
        <w:t>, </w:t>
      </w:r>
      <w:r>
        <w:rPr>
          <w:i/>
          <w:iCs/>
          <w:highlight w:val="none"/>
          <w:shd w:val="clear" w:color="auto" w:fill="FFFFFF"/>
        </w:rPr>
        <w:t>39</w:t>
      </w:r>
      <w:r>
        <w:rPr>
          <w:highlight w:val="none"/>
          <w:shd w:val="clear" w:color="auto" w:fill="FFFFFF"/>
        </w:rPr>
        <w:t>(12), pp.988-1005.</w:t>
      </w:r>
    </w:p>
    <w:p w14:paraId="3B3CF294">
      <w:pPr>
        <w:ind w:left="720" w:hanging="720"/>
        <w:rPr>
          <w:highlight w:val="none"/>
          <w:shd w:val="clear" w:color="auto" w:fill="FFFFFF"/>
        </w:rPr>
      </w:pPr>
      <w:r>
        <w:rPr>
          <w:highlight w:val="none"/>
          <w:shd w:val="clear" w:color="auto" w:fill="FFFFFF"/>
        </w:rPr>
        <w:t>Cződörová, R. and Gnap, J., (2023) Investigation of the Effectiveness of the Introduction of the Quality Management System According to the ISO 9001 Standard in Transport Companies: Slovakia Case Study. </w:t>
      </w:r>
      <w:r>
        <w:rPr>
          <w:i/>
          <w:iCs/>
          <w:highlight w:val="none"/>
          <w:shd w:val="clear" w:color="auto" w:fill="FFFFFF"/>
        </w:rPr>
        <w:t>Sustainability</w:t>
      </w:r>
      <w:r>
        <w:rPr>
          <w:highlight w:val="none"/>
          <w:shd w:val="clear" w:color="auto" w:fill="FFFFFF"/>
        </w:rPr>
        <w:t>, </w:t>
      </w:r>
      <w:r>
        <w:rPr>
          <w:i/>
          <w:iCs/>
          <w:highlight w:val="none"/>
          <w:shd w:val="clear" w:color="auto" w:fill="FFFFFF"/>
        </w:rPr>
        <w:t>15</w:t>
      </w:r>
      <w:r>
        <w:rPr>
          <w:highlight w:val="none"/>
          <w:shd w:val="clear" w:color="auto" w:fill="FFFFFF"/>
        </w:rPr>
        <w:t>(3), p.2401.</w:t>
      </w:r>
    </w:p>
    <w:p w14:paraId="32672357">
      <w:pPr>
        <w:ind w:left="720" w:hanging="720"/>
        <w:rPr>
          <w:highlight w:val="none"/>
          <w:shd w:val="clear" w:color="auto" w:fill="FFFFFF"/>
        </w:rPr>
      </w:pPr>
      <w:r>
        <w:rPr>
          <w:highlight w:val="none"/>
          <w:shd w:val="clear" w:color="auto" w:fill="FFFFFF"/>
        </w:rPr>
        <w:t>FEYERA, B., 2020. ASSESSMENT OF QUALITY MANAGEMENT SYSTEM IN REAL ESTATE CONSTRUCTION IN ADDIS ABABA: THE CASE OF FLINTSTONE REAL ESTATE (Doctoral dissertation, ST. MARY’S UNIVERSITY).</w:t>
      </w:r>
    </w:p>
    <w:p w14:paraId="646F03C9">
      <w:pPr>
        <w:ind w:left="720" w:hanging="720"/>
        <w:rPr>
          <w:highlight w:val="none"/>
          <w:shd w:val="clear" w:color="auto" w:fill="FFFFFF"/>
        </w:rPr>
      </w:pPr>
      <w:r>
        <w:rPr>
          <w:highlight w:val="none"/>
          <w:shd w:val="clear" w:color="auto" w:fill="FFFFFF"/>
        </w:rPr>
        <w:t>Helmold, M., (2023) Audits and Quality Management Systems (QMS). In </w:t>
      </w:r>
      <w:r>
        <w:rPr>
          <w:i/>
          <w:iCs/>
          <w:highlight w:val="none"/>
          <w:shd w:val="clear" w:color="auto" w:fill="FFFFFF"/>
        </w:rPr>
        <w:t>Virtual and Innovative Quality Management Across the Value Chain: Industry Insights, Case Studies and Best Practices</w:t>
      </w:r>
      <w:r>
        <w:rPr>
          <w:highlight w:val="none"/>
          <w:shd w:val="clear" w:color="auto" w:fill="FFFFFF"/>
        </w:rPr>
        <w:t> (pp. 75-86). Cham: Springer International Publishing.</w:t>
      </w:r>
    </w:p>
    <w:p w14:paraId="0068899B">
      <w:pPr>
        <w:ind w:left="720" w:hanging="720"/>
        <w:rPr>
          <w:highlight w:val="none"/>
          <w:shd w:val="clear" w:color="auto" w:fill="FFFFFF"/>
        </w:rPr>
      </w:pPr>
      <w:r>
        <w:rPr>
          <w:highlight w:val="none"/>
          <w:shd w:val="clear" w:color="auto" w:fill="FFFFFF"/>
        </w:rPr>
        <w:t>Hoyle, D., (2017) ISO 9000 Quality Systems Handbook-updated for the ISO 9001: 2015 standard: Increasing the Quality of an Organization’s Outputs. Routledge.</w:t>
      </w:r>
    </w:p>
    <w:p w14:paraId="10197F99">
      <w:pPr>
        <w:ind w:left="720" w:hanging="720"/>
        <w:rPr>
          <w:highlight w:val="none"/>
          <w:shd w:val="clear" w:color="auto" w:fill="FFFFFF"/>
        </w:rPr>
      </w:pPr>
      <w:r>
        <w:rPr>
          <w:highlight w:val="none"/>
          <w:shd w:val="clear" w:color="auto" w:fill="FFFFFF"/>
        </w:rPr>
        <w:t>Kissi, E., Agyekum, K., Baiden, B.K., Tannor, R.A., Asamoah, G.E. and Andam, E.T., (2019) Impact of project monitoring and evaluation practices on project success criteria in Ghana. </w:t>
      </w:r>
      <w:r>
        <w:rPr>
          <w:i/>
          <w:iCs/>
          <w:highlight w:val="none"/>
          <w:shd w:val="clear" w:color="auto" w:fill="FFFFFF"/>
        </w:rPr>
        <w:t>Built Environment Project and Asset Management</w:t>
      </w:r>
      <w:r>
        <w:rPr>
          <w:highlight w:val="none"/>
          <w:shd w:val="clear" w:color="auto" w:fill="FFFFFF"/>
        </w:rPr>
        <w:t>, </w:t>
      </w:r>
      <w:r>
        <w:rPr>
          <w:i/>
          <w:iCs/>
          <w:highlight w:val="none"/>
          <w:shd w:val="clear" w:color="auto" w:fill="FFFFFF"/>
        </w:rPr>
        <w:t>9</w:t>
      </w:r>
      <w:r>
        <w:rPr>
          <w:highlight w:val="none"/>
          <w:shd w:val="clear" w:color="auto" w:fill="FFFFFF"/>
        </w:rPr>
        <w:t>(3), pp.364-382.</w:t>
      </w:r>
    </w:p>
    <w:p w14:paraId="52E3D824">
      <w:pPr>
        <w:ind w:left="720" w:hanging="720"/>
        <w:rPr>
          <w:highlight w:val="none"/>
          <w:shd w:val="clear" w:color="auto" w:fill="FFFFFF"/>
        </w:rPr>
      </w:pPr>
      <w:r>
        <w:rPr>
          <w:highlight w:val="none"/>
          <w:shd w:val="clear" w:color="auto" w:fill="FFFFFF"/>
        </w:rPr>
        <w:t>Krajcsák, Z., (2019) Implementing open innovation using quality management systems: The role of organizational commitment and customer loyalty. </w:t>
      </w:r>
      <w:r>
        <w:rPr>
          <w:i/>
          <w:iCs/>
          <w:highlight w:val="none"/>
          <w:shd w:val="clear" w:color="auto" w:fill="FFFFFF"/>
        </w:rPr>
        <w:t>Journal of Open Innovation: Technology, Market, and Complexity</w:t>
      </w:r>
      <w:r>
        <w:rPr>
          <w:highlight w:val="none"/>
          <w:shd w:val="clear" w:color="auto" w:fill="FFFFFF"/>
        </w:rPr>
        <w:t>, </w:t>
      </w:r>
      <w:r>
        <w:rPr>
          <w:i/>
          <w:iCs/>
          <w:highlight w:val="none"/>
          <w:shd w:val="clear" w:color="auto" w:fill="FFFFFF"/>
        </w:rPr>
        <w:t>5</w:t>
      </w:r>
      <w:r>
        <w:rPr>
          <w:highlight w:val="none"/>
          <w:shd w:val="clear" w:color="auto" w:fill="FFFFFF"/>
        </w:rPr>
        <w:t>(4), p.90.</w:t>
      </w:r>
    </w:p>
    <w:p w14:paraId="35409967">
      <w:pPr>
        <w:ind w:left="720" w:hanging="720"/>
        <w:rPr>
          <w:highlight w:val="none"/>
          <w:shd w:val="clear" w:color="auto" w:fill="FFFFFF"/>
        </w:rPr>
      </w:pPr>
      <w:r>
        <w:rPr>
          <w:highlight w:val="none"/>
          <w:shd w:val="clear" w:color="auto" w:fill="FFFFFF"/>
        </w:rPr>
        <w:t>Lannelongue, L., Grealey, J. and Inouye, M., (2021) Green algorithms: quantifying the carbon footprint of computation. </w:t>
      </w:r>
      <w:r>
        <w:rPr>
          <w:i/>
          <w:iCs/>
          <w:highlight w:val="none"/>
          <w:shd w:val="clear" w:color="auto" w:fill="FFFFFF"/>
        </w:rPr>
        <w:t>Advanced science</w:t>
      </w:r>
      <w:r>
        <w:rPr>
          <w:highlight w:val="none"/>
          <w:shd w:val="clear" w:color="auto" w:fill="FFFFFF"/>
        </w:rPr>
        <w:t>, </w:t>
      </w:r>
      <w:r>
        <w:rPr>
          <w:i/>
          <w:iCs/>
          <w:highlight w:val="none"/>
          <w:shd w:val="clear" w:color="auto" w:fill="FFFFFF"/>
        </w:rPr>
        <w:t>8</w:t>
      </w:r>
      <w:r>
        <w:rPr>
          <w:highlight w:val="none"/>
          <w:shd w:val="clear" w:color="auto" w:fill="FFFFFF"/>
        </w:rPr>
        <w:t>(12), p.2100707.</w:t>
      </w:r>
    </w:p>
    <w:p w14:paraId="79269708">
      <w:pPr>
        <w:ind w:left="720" w:hanging="720"/>
        <w:rPr>
          <w:highlight w:val="none"/>
          <w:shd w:val="clear" w:color="auto" w:fill="FFFFFF"/>
        </w:rPr>
      </w:pPr>
      <w:r>
        <w:rPr>
          <w:highlight w:val="none"/>
          <w:shd w:val="clear" w:color="auto" w:fill="FFFFFF"/>
        </w:rPr>
        <w:t>Leonov, O., Temasova, G., Shkaruba, N., Vergazova, Y. and Panin, A., (2022, June) Process approach in the development of standards for the quality management system of a machine-building enterprise. In </w:t>
      </w:r>
      <w:r>
        <w:rPr>
          <w:i/>
          <w:iCs/>
          <w:highlight w:val="none"/>
          <w:shd w:val="clear" w:color="auto" w:fill="FFFFFF"/>
        </w:rPr>
        <w:t>AIP conference proceedings</w:t>
      </w:r>
      <w:r>
        <w:rPr>
          <w:highlight w:val="none"/>
          <w:shd w:val="clear" w:color="auto" w:fill="FFFFFF"/>
        </w:rPr>
        <w:t> (Vol. 2467, No. 1). AIP Publishing.</w:t>
      </w:r>
    </w:p>
    <w:p w14:paraId="570B4EDC">
      <w:pPr>
        <w:ind w:left="720" w:hanging="720"/>
        <w:rPr>
          <w:highlight w:val="none"/>
          <w:shd w:val="clear" w:color="auto" w:fill="FFFFFF"/>
        </w:rPr>
      </w:pPr>
      <w:r>
        <w:rPr>
          <w:highlight w:val="none"/>
          <w:shd w:val="clear" w:color="auto" w:fill="FFFFFF"/>
        </w:rPr>
        <w:t>Madsen, C.U., Kirkegaard, M.L., Dyreborg, J. and Hasle, P., (2020) Making occupational health and safety management systems ‘work’: A realist review of the OHSAS 18001 standard. </w:t>
      </w:r>
      <w:r>
        <w:rPr>
          <w:i/>
          <w:iCs/>
          <w:highlight w:val="none"/>
          <w:shd w:val="clear" w:color="auto" w:fill="FFFFFF"/>
        </w:rPr>
        <w:t>Safety science</w:t>
      </w:r>
      <w:r>
        <w:rPr>
          <w:highlight w:val="none"/>
          <w:shd w:val="clear" w:color="auto" w:fill="FFFFFF"/>
        </w:rPr>
        <w:t>, </w:t>
      </w:r>
      <w:r>
        <w:rPr>
          <w:i/>
          <w:iCs/>
          <w:highlight w:val="none"/>
          <w:shd w:val="clear" w:color="auto" w:fill="FFFFFF"/>
        </w:rPr>
        <w:t>129</w:t>
      </w:r>
      <w:r>
        <w:rPr>
          <w:highlight w:val="none"/>
          <w:shd w:val="clear" w:color="auto" w:fill="FFFFFF"/>
        </w:rPr>
        <w:t>, p.104843.</w:t>
      </w:r>
    </w:p>
    <w:p w14:paraId="3062ADE9">
      <w:pPr>
        <w:ind w:left="720" w:hanging="720"/>
        <w:rPr>
          <w:highlight w:val="none"/>
          <w:shd w:val="clear" w:color="auto" w:fill="FFFFFF"/>
        </w:rPr>
      </w:pPr>
      <w:r>
        <w:rPr>
          <w:highlight w:val="none"/>
          <w:shd w:val="clear" w:color="auto" w:fill="FFFFFF"/>
        </w:rPr>
        <w:t>Mon, T.Y., (2020) Study of risks assessment for implementation of QMS in MYANMAR construction industry. </w:t>
      </w:r>
      <w:r>
        <w:rPr>
          <w:i/>
          <w:iCs/>
          <w:highlight w:val="none"/>
          <w:shd w:val="clear" w:color="auto" w:fill="FFFFFF"/>
        </w:rPr>
        <w:t>Proceedings on Engineering Sciences</w:t>
      </w:r>
      <w:r>
        <w:rPr>
          <w:highlight w:val="none"/>
          <w:shd w:val="clear" w:color="auto" w:fill="FFFFFF"/>
        </w:rPr>
        <w:t>, </w:t>
      </w:r>
      <w:r>
        <w:rPr>
          <w:i/>
          <w:iCs/>
          <w:highlight w:val="none"/>
          <w:shd w:val="clear" w:color="auto" w:fill="FFFFFF"/>
        </w:rPr>
        <w:t>2</w:t>
      </w:r>
      <w:r>
        <w:rPr>
          <w:highlight w:val="none"/>
          <w:shd w:val="clear" w:color="auto" w:fill="FFFFFF"/>
        </w:rPr>
        <w:t>(1), pp.73-80.</w:t>
      </w:r>
    </w:p>
    <w:p w14:paraId="733C3E67">
      <w:pPr>
        <w:ind w:left="720" w:hanging="720"/>
        <w:rPr>
          <w:highlight w:val="none"/>
          <w:shd w:val="clear" w:color="auto" w:fill="FFFFFF"/>
        </w:rPr>
      </w:pPr>
      <w:r>
        <w:rPr>
          <w:highlight w:val="none"/>
          <w:shd w:val="clear" w:color="auto" w:fill="FFFFFF"/>
        </w:rPr>
        <w:t>Oliveira, M.A. and Lopes, I., (2020) Evaluation and improvement of maintenance management performance using a maturity model. </w:t>
      </w:r>
      <w:r>
        <w:rPr>
          <w:i/>
          <w:iCs/>
          <w:highlight w:val="none"/>
          <w:shd w:val="clear" w:color="auto" w:fill="FFFFFF"/>
        </w:rPr>
        <w:t>International Journal of Productivity and Performance Management</w:t>
      </w:r>
      <w:r>
        <w:rPr>
          <w:highlight w:val="none"/>
          <w:shd w:val="clear" w:color="auto" w:fill="FFFFFF"/>
        </w:rPr>
        <w:t>, </w:t>
      </w:r>
      <w:r>
        <w:rPr>
          <w:i/>
          <w:iCs/>
          <w:highlight w:val="none"/>
          <w:shd w:val="clear" w:color="auto" w:fill="FFFFFF"/>
        </w:rPr>
        <w:t>69</w:t>
      </w:r>
      <w:r>
        <w:rPr>
          <w:highlight w:val="none"/>
          <w:shd w:val="clear" w:color="auto" w:fill="FFFFFF"/>
        </w:rPr>
        <w:t>(3), pp.559-581.</w:t>
      </w:r>
    </w:p>
    <w:p w14:paraId="5BA958C8">
      <w:pPr>
        <w:ind w:left="720" w:hanging="720"/>
        <w:rPr>
          <w:highlight w:val="none"/>
          <w:shd w:val="clear" w:color="auto" w:fill="FFFFFF"/>
        </w:rPr>
      </w:pPr>
      <w:r>
        <w:rPr>
          <w:highlight w:val="none"/>
          <w:shd w:val="clear" w:color="auto" w:fill="FFFFFF"/>
        </w:rPr>
        <w:t>Patel, C.S. and Pitroda, J.R., (2021) Quality management system in construction: A review. </w:t>
      </w:r>
      <w:r>
        <w:rPr>
          <w:i/>
          <w:iCs/>
          <w:highlight w:val="none"/>
          <w:shd w:val="clear" w:color="auto" w:fill="FFFFFF"/>
        </w:rPr>
        <w:t>Reliability: Theory &amp; Applications</w:t>
      </w:r>
      <w:r>
        <w:rPr>
          <w:highlight w:val="none"/>
          <w:shd w:val="clear" w:color="auto" w:fill="FFFFFF"/>
        </w:rPr>
        <w:t>, </w:t>
      </w:r>
      <w:r>
        <w:rPr>
          <w:i/>
          <w:iCs/>
          <w:highlight w:val="none"/>
          <w:shd w:val="clear" w:color="auto" w:fill="FFFFFF"/>
        </w:rPr>
        <w:t>16</w:t>
      </w:r>
      <w:r>
        <w:rPr>
          <w:highlight w:val="none"/>
          <w:shd w:val="clear" w:color="auto" w:fill="FFFFFF"/>
        </w:rPr>
        <w:t>(SI 1 (60)), pp.121-131.</w:t>
      </w:r>
    </w:p>
    <w:p w14:paraId="063A65E7">
      <w:pPr>
        <w:ind w:left="720" w:hanging="720"/>
        <w:rPr>
          <w:highlight w:val="none"/>
          <w:shd w:val="clear" w:color="auto" w:fill="FFFFFF"/>
        </w:rPr>
      </w:pPr>
      <w:r>
        <w:rPr>
          <w:highlight w:val="none"/>
          <w:shd w:val="clear" w:color="auto" w:fill="FFFFFF"/>
        </w:rPr>
        <w:t>Rao, R.K., Shenoy, V. and Kothari, M., (2022) Integrated Business Excellence Approach for Long-Term Sustainability of Indian MSME Organizations. </w:t>
      </w:r>
      <w:r>
        <w:rPr>
          <w:i/>
          <w:iCs/>
          <w:highlight w:val="none"/>
          <w:shd w:val="clear" w:color="auto" w:fill="FFFFFF"/>
        </w:rPr>
        <w:t>Drishtikon: A Management Journal</w:t>
      </w:r>
      <w:r>
        <w:rPr>
          <w:highlight w:val="none"/>
          <w:shd w:val="clear" w:color="auto" w:fill="FFFFFF"/>
        </w:rPr>
        <w:t>, </w:t>
      </w:r>
      <w:r>
        <w:rPr>
          <w:i/>
          <w:iCs/>
          <w:highlight w:val="none"/>
          <w:shd w:val="clear" w:color="auto" w:fill="FFFFFF"/>
        </w:rPr>
        <w:t>13</w:t>
      </w:r>
      <w:r>
        <w:rPr>
          <w:highlight w:val="none"/>
          <w:shd w:val="clear" w:color="auto" w:fill="FFFFFF"/>
        </w:rPr>
        <w:t>(2).</w:t>
      </w:r>
    </w:p>
    <w:p w14:paraId="74C6C558">
      <w:pPr>
        <w:spacing w:after="240"/>
        <w:ind w:left="720" w:hanging="720"/>
        <w:rPr>
          <w:rFonts w:eastAsia="Times New Roman" w:cs="Times New Roman"/>
          <w:color w:val="000000"/>
          <w:szCs w:val="24"/>
          <w:highlight w:val="none"/>
        </w:rPr>
      </w:pPr>
      <w:r>
        <w:rPr>
          <w:rFonts w:eastAsia="Times New Roman" w:cs="Times New Roman"/>
          <w:color w:val="000000"/>
          <w:szCs w:val="24"/>
          <w:highlight w:val="none"/>
        </w:rPr>
        <w:t>Ross, D. (2021). </w:t>
      </w:r>
      <w:r>
        <w:rPr>
          <w:rFonts w:eastAsia="Times New Roman" w:cs="Times New Roman"/>
          <w:i/>
          <w:iCs/>
          <w:color w:val="000000"/>
          <w:szCs w:val="24"/>
          <w:highlight w:val="none"/>
        </w:rPr>
        <w:t>THE CHALLENGES OF IMPLEMENTING A QUALITY MANAGEMENT SYSTEM IN CONTEMPORARY LARGE SCALE CONSTRUCTION PROJECTS</w:t>
      </w:r>
      <w:r>
        <w:rPr>
          <w:rFonts w:eastAsia="Times New Roman" w:cs="Times New Roman"/>
          <w:color w:val="000000"/>
          <w:szCs w:val="24"/>
          <w:highlight w:val="none"/>
        </w:rPr>
        <w:t>. [online] ResearchGate. Available at: https://www.researchgate.net/publication/355209595_THE_CHALLENGES_OF_IMPLEMENTING_A_QUALITY_MANAGEMENT_SYSTEM_IN_CONTEMPORARY_LARGE_SCALE_CONSTRUCTION_PROJECTS [Accessed 26 Jul. 2023].</w:t>
      </w:r>
    </w:p>
    <w:p w14:paraId="522C594F">
      <w:pPr>
        <w:spacing w:after="240"/>
        <w:ind w:left="720" w:hanging="720"/>
        <w:rPr>
          <w:rFonts w:eastAsia="Times New Roman" w:cs="Times New Roman"/>
          <w:color w:val="000000"/>
          <w:szCs w:val="24"/>
          <w:highlight w:val="none"/>
        </w:rPr>
      </w:pPr>
      <w:r>
        <w:rPr>
          <w:rFonts w:eastAsia="Times New Roman" w:cs="Times New Roman"/>
          <w:color w:val="000000"/>
          <w:szCs w:val="24"/>
          <w:highlight w:val="none"/>
        </w:rPr>
        <w:t>Egwunatum, S.I., Anumudu, A.C., Eze, E.C. and Awodele, I.A., 2022. Total quality management (TQM) implementation in the Nigerian construction industry. Engineering, Construction and Architectural Management, 29(1), pp.354-382.</w:t>
      </w:r>
    </w:p>
    <w:p w14:paraId="1BC04592">
      <w:pPr>
        <w:spacing w:after="240"/>
        <w:ind w:left="720" w:hanging="720"/>
        <w:rPr>
          <w:rFonts w:eastAsia="Times New Roman" w:cs="Times New Roman"/>
          <w:color w:val="000000"/>
          <w:szCs w:val="24"/>
          <w:highlight w:val="none"/>
        </w:rPr>
      </w:pPr>
      <w:r>
        <w:rPr>
          <w:rFonts w:eastAsia="Times New Roman" w:cs="Times New Roman"/>
          <w:color w:val="000000"/>
          <w:szCs w:val="24"/>
          <w:highlight w:val="none"/>
        </w:rPr>
        <w:t>Samanta, S. and Gochhayat, J., 2023. Critique on occupational safety and health in construction sector: An Indian perspective. Materials Today: Proceedings, 80, pp.3016-3021.</w:t>
      </w:r>
    </w:p>
    <w:p w14:paraId="68366F64">
      <w:pPr>
        <w:spacing w:after="240"/>
        <w:ind w:left="720" w:hanging="720"/>
        <w:rPr>
          <w:rFonts w:eastAsia="Times New Roman" w:cs="Times New Roman"/>
          <w:color w:val="000000"/>
          <w:szCs w:val="24"/>
          <w:highlight w:val="none"/>
        </w:rPr>
      </w:pPr>
      <w:r>
        <w:rPr>
          <w:rFonts w:eastAsia="Times New Roman" w:cs="Times New Roman"/>
          <w:color w:val="000000"/>
          <w:szCs w:val="24"/>
          <w:highlight w:val="none"/>
        </w:rPr>
        <w:t>Ajgaonkar, S., Neelam, N., Behl, A., Dao, L.T. and Lang, L.D., 2022. Exploring human resource work design, learning mechanism and TQM: through the lens of activity theory and contextual learning theory. The TQM Journal, 34(1), pp.70-101.</w:t>
      </w:r>
    </w:p>
    <w:p w14:paraId="46A426AA">
      <w:pPr>
        <w:spacing w:after="240"/>
        <w:ind w:left="720" w:hanging="720"/>
        <w:rPr>
          <w:rFonts w:eastAsia="Times New Roman" w:cs="Times New Roman"/>
          <w:color w:val="000000"/>
          <w:szCs w:val="24"/>
          <w:highlight w:val="none"/>
        </w:rPr>
      </w:pPr>
      <w:r>
        <w:rPr>
          <w:rFonts w:eastAsia="Times New Roman" w:cs="Times New Roman"/>
          <w:color w:val="000000"/>
          <w:szCs w:val="24"/>
          <w:highlight w:val="none"/>
        </w:rPr>
        <w:t>Mokwena, P.L., 2020. Factors affecting the implementation of quality management practices in construction projects: $ b the case of Transnet Capital Projects (Doctoral dissertation).</w:t>
      </w:r>
    </w:p>
    <w:p w14:paraId="5D0D8D65">
      <w:pPr>
        <w:spacing w:after="240"/>
        <w:ind w:left="720" w:hanging="720"/>
        <w:rPr>
          <w:rFonts w:eastAsia="Times New Roman" w:cs="Times New Roman"/>
          <w:color w:val="000000"/>
          <w:szCs w:val="24"/>
          <w:highlight w:val="none"/>
        </w:rPr>
      </w:pPr>
      <w:r>
        <w:rPr>
          <w:rFonts w:eastAsia="Times New Roman" w:cs="Times New Roman"/>
          <w:color w:val="000000"/>
          <w:szCs w:val="24"/>
          <w:highlight w:val="none"/>
        </w:rPr>
        <w:t>Nasereddin, M. and Price, A., 2021. Addressing the capital cost barrier to sustainable construction. Developments in the Built Environment, 7, p.100049.</w:t>
      </w:r>
    </w:p>
    <w:p w14:paraId="03F0B408">
      <w:pPr>
        <w:ind w:left="720" w:hanging="720"/>
        <w:rPr>
          <w:highlight w:val="none"/>
        </w:rPr>
      </w:pPr>
      <w:r>
        <w:rPr>
          <w:highlight w:val="none"/>
        </w:rPr>
        <w:t>Rumane, A. R. (2011) Quality management in construction projects. Boca Raton, FL: CRC Press</w:t>
      </w:r>
    </w:p>
    <w:p w14:paraId="7099FC4F">
      <w:pPr>
        <w:ind w:left="720" w:hanging="720"/>
        <w:rPr>
          <w:highlight w:val="none"/>
          <w:shd w:val="clear" w:color="auto" w:fill="FFFFFF"/>
        </w:rPr>
      </w:pPr>
      <w:r>
        <w:rPr>
          <w:highlight w:val="none"/>
          <w:shd w:val="clear" w:color="auto" w:fill="FFFFFF"/>
        </w:rPr>
        <w:t>Tachie, S.A. and Mancotywa, N.C., (2021) Challenges Faced by the Development Support Group in Implementing the Integrated Quality Management System in Circuit 04 Schools in the Mthatha Education District. </w:t>
      </w:r>
      <w:r>
        <w:rPr>
          <w:i/>
          <w:iCs/>
          <w:highlight w:val="none"/>
          <w:shd w:val="clear" w:color="auto" w:fill="FFFFFF"/>
        </w:rPr>
        <w:t>Education Research International</w:t>
      </w:r>
      <w:r>
        <w:rPr>
          <w:highlight w:val="none"/>
          <w:shd w:val="clear" w:color="auto" w:fill="FFFFFF"/>
        </w:rPr>
        <w:t>, </w:t>
      </w:r>
      <w:r>
        <w:rPr>
          <w:i/>
          <w:iCs/>
          <w:highlight w:val="none"/>
          <w:shd w:val="clear" w:color="auto" w:fill="FFFFFF"/>
        </w:rPr>
        <w:t>2021</w:t>
      </w:r>
      <w:r>
        <w:rPr>
          <w:highlight w:val="none"/>
          <w:shd w:val="clear" w:color="auto" w:fill="FFFFFF"/>
        </w:rPr>
        <w:t>, pp.1-13.</w:t>
      </w:r>
    </w:p>
    <w:p w14:paraId="0A478D60">
      <w:pPr>
        <w:ind w:left="720" w:hanging="720"/>
        <w:rPr>
          <w:highlight w:val="none"/>
          <w:shd w:val="clear" w:color="auto" w:fill="FFFFFF"/>
        </w:rPr>
      </w:pPr>
      <w:r>
        <w:rPr>
          <w:highlight w:val="none"/>
          <w:shd w:val="clear" w:color="auto" w:fill="FFFFFF"/>
        </w:rPr>
        <w:t>Titu, A.M., Ungureanu, A.M. and Lungu, F.A., 2023, May. Continuous Improvement and Performance Assessment in Knowledge-Based Organizations. In </w:t>
      </w:r>
      <w:r>
        <w:rPr>
          <w:i/>
          <w:iCs/>
          <w:highlight w:val="none"/>
          <w:shd w:val="clear" w:color="auto" w:fill="FFFFFF"/>
        </w:rPr>
        <w:t>International Conference “New Technologies, Development and Applications”</w:t>
      </w:r>
      <w:r>
        <w:rPr>
          <w:highlight w:val="none"/>
          <w:shd w:val="clear" w:color="auto" w:fill="FFFFFF"/>
        </w:rPr>
        <w:t> (pp. 193-200). Cham: Springer Nature Switzerland.</w:t>
      </w:r>
    </w:p>
    <w:p w14:paraId="1A7BF09E">
      <w:pPr>
        <w:ind w:left="720" w:hanging="720"/>
        <w:rPr>
          <w:highlight w:val="none"/>
        </w:rPr>
      </w:pPr>
      <w:r>
        <w:rPr>
          <w:highlight w:val="none"/>
        </w:rPr>
        <w:t>Tradingeconomics.com. (2023). </w:t>
      </w:r>
      <w:r>
        <w:rPr>
          <w:i/>
          <w:iCs/>
          <w:highlight w:val="none"/>
        </w:rPr>
        <w:t>Saudi Arabia GDP From Construction - 2023 Data - 2024 Forecast - 2010-2022 Historical</w:t>
      </w:r>
      <w:r>
        <w:rPr>
          <w:highlight w:val="none"/>
        </w:rPr>
        <w:t>. [online] Available at: https://tradingeconomics.com/saudi-arabia/gdp-from-construction [Accessed 26 Jul. 2023].</w:t>
      </w:r>
    </w:p>
    <w:p w14:paraId="0A196F4F">
      <w:pPr>
        <w:ind w:left="720" w:hanging="720"/>
        <w:rPr>
          <w:highlight w:val="none"/>
          <w:shd w:val="clear" w:color="auto" w:fill="FFFFFF"/>
        </w:rPr>
      </w:pPr>
      <w:r>
        <w:rPr>
          <w:highlight w:val="none"/>
          <w:shd w:val="clear" w:color="auto" w:fill="FFFFFF"/>
        </w:rPr>
        <w:t>Willar, D., (2012) Improving quality management system implementation in Indonesian construction companies (Doctoral dissertation, Queensland University of Technology).</w:t>
      </w:r>
    </w:p>
    <w:p w14:paraId="5695C8CC">
      <w:pPr>
        <w:ind w:left="720" w:hanging="720"/>
        <w:rPr>
          <w:highlight w:val="none"/>
          <w:shd w:val="clear" w:color="auto" w:fill="FFFFFF"/>
        </w:rPr>
      </w:pPr>
      <w:r>
        <w:rPr>
          <w:highlight w:val="none"/>
          <w:shd w:val="clear" w:color="auto" w:fill="FFFFFF"/>
        </w:rPr>
        <w:t>Ali AlShehail, O., Khan, M. and Ajmal, M., 2022. Total quality management and sustainability in the public service sector: the mediating effect of service innovation. Benchmarking: An International Journal, 29(2), pp.382-410.</w:t>
      </w:r>
    </w:p>
    <w:p w14:paraId="55E02AE6">
      <w:pPr>
        <w:ind w:left="720" w:hanging="720"/>
        <w:rPr>
          <w:highlight w:val="none"/>
          <w:shd w:val="clear" w:color="auto" w:fill="FFFFFF"/>
        </w:rPr>
      </w:pPr>
      <w:r>
        <w:rPr>
          <w:highlight w:val="none"/>
          <w:shd w:val="clear" w:color="auto" w:fill="FFFFFF"/>
        </w:rPr>
        <w:t>Odubiyi, T.B., Oke, A., Aigbavboa, C. and Thwala, W., 2019. Barriers to implementing quality management system in the industry 4.0 Era. Croat. Assoc. Constr. Manag, 1(1), pp.899-907.</w:t>
      </w:r>
    </w:p>
    <w:p w14:paraId="548686F9">
      <w:pPr>
        <w:ind w:left="720" w:hanging="720"/>
        <w:rPr>
          <w:highlight w:val="none"/>
          <w:shd w:val="clear" w:color="auto" w:fill="FFFFFF"/>
        </w:rPr>
      </w:pPr>
      <w:r>
        <w:rPr>
          <w:highlight w:val="none"/>
          <w:shd w:val="clear" w:color="auto" w:fill="FFFFFF"/>
        </w:rPr>
        <w:t>Mitchell, C. and Fakhruddin, B., 2022. An Analysis of Barriers to the Implementation of an ISO Certified Quality Management System for National Meteorological and Hydrological Services in the Anglophone Caribbean. Meteorological Applications, 29(4), p.e2086.</w:t>
      </w:r>
    </w:p>
    <w:p w14:paraId="0EFF017E">
      <w:pPr>
        <w:ind w:left="720" w:hanging="720"/>
        <w:rPr>
          <w:highlight w:val="none"/>
          <w:shd w:val="clear" w:color="auto" w:fill="FFFFFF"/>
        </w:rPr>
      </w:pPr>
      <w:r>
        <w:rPr>
          <w:highlight w:val="none"/>
          <w:shd w:val="clear" w:color="auto" w:fill="FFFFFF"/>
        </w:rPr>
        <w:t>Elsokhn, N. and Ezeldin, A.S., 2021, May. An Examination of Quality Management System Implementation in Egyptian Contracting Companies. In Canadian Society of Civil Engineering Annual Conference (pp. 251-262). Singapore: Springer Nature Singapore.</w:t>
      </w:r>
    </w:p>
    <w:p w14:paraId="49C76A96">
      <w:pPr>
        <w:ind w:left="720" w:hanging="720"/>
        <w:rPr>
          <w:highlight w:val="none"/>
          <w:shd w:val="clear" w:color="auto" w:fill="FFFFFF"/>
        </w:rPr>
      </w:pPr>
      <w:r>
        <w:rPr>
          <w:highlight w:val="none"/>
          <w:shd w:val="clear" w:color="auto" w:fill="FFFFFF"/>
        </w:rPr>
        <w:t>Andhika, R. and Latief, Y., 2020. Conceptual framework of development of quality culture in indonesian construction company.</w:t>
      </w:r>
    </w:p>
    <w:p w14:paraId="255BE426">
      <w:pPr>
        <w:ind w:left="720" w:hanging="720"/>
        <w:rPr>
          <w:highlight w:val="none"/>
          <w:shd w:val="clear" w:color="auto" w:fill="FFFFFF"/>
        </w:rPr>
      </w:pPr>
      <w:r>
        <w:rPr>
          <w:highlight w:val="none"/>
          <w:shd w:val="clear" w:color="auto" w:fill="FFFFFF"/>
        </w:rPr>
        <w:t>Dreković, E., Radosavljević, M. and Bejtović, M., 2021. ANALYSIS OF LIMITATIONS OF ISO STANDARDS IMPLEMENTATION FROM THE EXTERNAL STAKEHOLDERS’POINT OF VIEW. Facta Universitatis, Series: Economics and Organization, pp.117-134.</w:t>
      </w:r>
    </w:p>
    <w:p w14:paraId="1C37A0DF">
      <w:pPr>
        <w:ind w:left="720" w:hanging="720"/>
        <w:rPr>
          <w:highlight w:val="none"/>
          <w:shd w:val="clear" w:color="auto" w:fill="FFFFFF"/>
        </w:rPr>
      </w:pPr>
      <w:r>
        <w:rPr>
          <w:highlight w:val="none"/>
          <w:shd w:val="clear" w:color="auto" w:fill="FFFFFF"/>
        </w:rPr>
        <w:t>Ruth, K.J., 2021. Challenges that Impede Implementation of International Standards Organization (ISO) 9001: 2008 in Public Corporations in Kenya. African Journal of Education, Science and Technology, 6(4), pp.23-34.</w:t>
      </w:r>
    </w:p>
    <w:p w14:paraId="5C01A0EC">
      <w:pPr>
        <w:ind w:left="720" w:hanging="720"/>
        <w:rPr>
          <w:highlight w:val="none"/>
          <w:shd w:val="clear" w:color="auto" w:fill="FFFFFF"/>
        </w:rPr>
      </w:pPr>
      <w:r>
        <w:rPr>
          <w:highlight w:val="none"/>
          <w:shd w:val="clear" w:color="auto" w:fill="FFFFFF"/>
        </w:rPr>
        <w:t>Mohammadi, M.M., Jalali, A. and Hasani, A., 2021. Success and failure factors in implementing quality management systems in small-and medium-sized enterprises: a mixed-method study. International Journal of Quality &amp; Reliability Management, 39(2), pp.468-494.</w:t>
      </w:r>
    </w:p>
    <w:p w14:paraId="5B78644B">
      <w:pPr>
        <w:ind w:left="720" w:hanging="720"/>
        <w:rPr>
          <w:highlight w:val="none"/>
          <w:shd w:val="clear" w:color="auto" w:fill="FFFFFF"/>
        </w:rPr>
      </w:pPr>
      <w:r>
        <w:rPr>
          <w:highlight w:val="none"/>
          <w:shd w:val="clear" w:color="auto" w:fill="FFFFFF"/>
        </w:rPr>
        <w:t>Ali, K., Johl, S.K., Muneer, A., Alwadain, A. and Ali, R.F., 2022. Soft and hard total quality management practices promote industry 4.0 readiness: a SEM-neural network approach. Sustainability, 14(19), p.11917.</w:t>
      </w:r>
    </w:p>
    <w:p w14:paraId="7C467AF1">
      <w:pPr>
        <w:spacing w:after="240" w:line="360" w:lineRule="atLeast"/>
        <w:jc w:val="left"/>
        <w:rPr>
          <w:rFonts w:eastAsia="Times New Roman" w:cs="Times New Roman"/>
          <w:color w:val="000000"/>
          <w:szCs w:val="24"/>
          <w:highlight w:val="none"/>
          <w:lang w:val="en-US"/>
        </w:rPr>
      </w:pPr>
      <w:r>
        <w:rPr>
          <w:rFonts w:eastAsia="Times New Roman" w:cs="Times New Roman"/>
          <w:color w:val="000000"/>
          <w:szCs w:val="24"/>
          <w:highlight w:val="none"/>
          <w:lang w:val="en-US"/>
        </w:rPr>
        <w:t>Mohamed Essam Shaawat, Saed, M., Qasem, A., Jamil, R., Abdulaziz Almohassen and Umaru Mohammed Bongwirnso (2023). A Performance Quality Index to Assess Professional Conduct of Contractors at Sustainable Construction Projects in Saudi Arabia. </w:t>
      </w:r>
      <w:r>
        <w:rPr>
          <w:rFonts w:eastAsia="Times New Roman" w:cs="Times New Roman"/>
          <w:i/>
          <w:iCs/>
          <w:color w:val="000000"/>
          <w:szCs w:val="24"/>
          <w:highlight w:val="none"/>
          <w:lang w:val="en-US"/>
        </w:rPr>
        <w:t>Sustainability</w:t>
      </w:r>
      <w:r>
        <w:rPr>
          <w:rFonts w:eastAsia="Times New Roman" w:cs="Times New Roman"/>
          <w:color w:val="000000"/>
          <w:szCs w:val="24"/>
          <w:highlight w:val="none"/>
          <w:lang w:val="en-US"/>
        </w:rPr>
        <w:t>, [online] 15(9), pp.7500–7500. doi:https://doi.org/10.3390/su15097500.</w:t>
      </w:r>
    </w:p>
    <w:p w14:paraId="1C98810C">
      <w:pPr>
        <w:pStyle w:val="20"/>
        <w:spacing w:before="0" w:beforeAutospacing="0" w:after="240" w:afterAutospacing="0" w:line="360" w:lineRule="atLeast"/>
        <w:rPr>
          <w:color w:val="000000"/>
          <w:highlight w:val="none"/>
          <w:lang w:val="en-US"/>
        </w:rPr>
      </w:pPr>
      <w:r>
        <w:rPr>
          <w:color w:val="000000"/>
          <w:highlight w:val="none"/>
          <w:lang w:val="en-US"/>
        </w:rPr>
        <w:t>‌</w:t>
      </w:r>
      <w:r>
        <w:rPr>
          <w:color w:val="000000"/>
          <w:highlight w:val="none"/>
        </w:rPr>
        <w:t xml:space="preserve"> </w:t>
      </w:r>
      <w:r>
        <w:rPr>
          <w:color w:val="000000"/>
          <w:highlight w:val="none"/>
          <w:lang w:val="en-US"/>
        </w:rPr>
        <w:t>Ali, Al-Sulaihi, I.A. and Al-Gahtani, K.S. (2013). Indicators for measuring performance of building construction companies in Kingdom of Saudi Arabia. </w:t>
      </w:r>
      <w:r>
        <w:rPr>
          <w:i/>
          <w:iCs/>
          <w:color w:val="000000"/>
          <w:highlight w:val="none"/>
          <w:lang w:val="en-US"/>
        </w:rPr>
        <w:t>Journal of King Saud University: Engineering Sciences</w:t>
      </w:r>
      <w:r>
        <w:rPr>
          <w:color w:val="000000"/>
          <w:highlight w:val="none"/>
          <w:lang w:val="en-US"/>
        </w:rPr>
        <w:t>, [online] 25(2), pp.125–134. doi:https://doi.org/10.1016/j.jksues.2012.03.002.</w:t>
      </w:r>
    </w:p>
    <w:p w14:paraId="56BBCC10">
      <w:pPr>
        <w:pStyle w:val="20"/>
        <w:spacing w:before="0" w:beforeAutospacing="0" w:after="240" w:afterAutospacing="0" w:line="360" w:lineRule="atLeast"/>
        <w:rPr>
          <w:color w:val="000000"/>
          <w:highlight w:val="none"/>
          <w:lang w:val="en-US"/>
        </w:rPr>
      </w:pPr>
      <w:r>
        <w:rPr>
          <w:color w:val="000000"/>
          <w:highlight w:val="none"/>
          <w:lang w:val="en-US"/>
        </w:rPr>
        <w:t>‌</w:t>
      </w:r>
      <w:r>
        <w:rPr>
          <w:color w:val="000000"/>
          <w:highlight w:val="none"/>
        </w:rPr>
        <w:t xml:space="preserve"> </w:t>
      </w:r>
      <w:r>
        <w:rPr>
          <w:color w:val="000000"/>
          <w:highlight w:val="none"/>
          <w:lang w:val="en-US"/>
        </w:rPr>
        <w:t>Ali, Al-Sulaihi, I.A. and Al-Gahtani, K.S. (2013). Indicators for measuring performance of building construction companies in Kingdom of Saudi Arabia. </w:t>
      </w:r>
      <w:r>
        <w:rPr>
          <w:i/>
          <w:iCs/>
          <w:color w:val="000000"/>
          <w:highlight w:val="none"/>
          <w:lang w:val="en-US"/>
        </w:rPr>
        <w:t>Journal of King Saud University: Engineering Sciences</w:t>
      </w:r>
      <w:r>
        <w:rPr>
          <w:color w:val="000000"/>
          <w:highlight w:val="none"/>
          <w:lang w:val="en-US"/>
        </w:rPr>
        <w:t>, [online] 25(2), pp.125–134. doi:https://doi.org/10.1016/j.jksues.2012.03.002.</w:t>
      </w:r>
    </w:p>
    <w:p w14:paraId="7B88B2FA">
      <w:pPr>
        <w:pStyle w:val="20"/>
        <w:spacing w:before="0" w:beforeAutospacing="0" w:after="240" w:afterAutospacing="0" w:line="360" w:lineRule="atLeast"/>
        <w:rPr>
          <w:color w:val="000000"/>
          <w:highlight w:val="none"/>
          <w:lang w:val="en-US"/>
        </w:rPr>
      </w:pPr>
      <w:r>
        <w:rPr>
          <w:color w:val="000000"/>
          <w:highlight w:val="none"/>
          <w:lang w:val="en-US"/>
        </w:rPr>
        <w:t>‌</w:t>
      </w:r>
      <w:r>
        <w:rPr>
          <w:color w:val="000000"/>
          <w:highlight w:val="none"/>
        </w:rPr>
        <w:t xml:space="preserve"> </w:t>
      </w:r>
      <w:r>
        <w:rPr>
          <w:color w:val="000000"/>
          <w:highlight w:val="none"/>
          <w:lang w:val="en-US"/>
        </w:rPr>
        <w:t>Hamad Almujibah (2023). Assessment of Building Information Modeling (BIM) as a Time and Cost-Saving Construction Management Tool: Evidence from Two-Story Villas in Jeddah. </w:t>
      </w:r>
      <w:r>
        <w:rPr>
          <w:i/>
          <w:iCs/>
          <w:color w:val="000000"/>
          <w:highlight w:val="none"/>
          <w:lang w:val="en-US"/>
        </w:rPr>
        <w:t>Sustainability</w:t>
      </w:r>
      <w:r>
        <w:rPr>
          <w:color w:val="000000"/>
          <w:highlight w:val="none"/>
          <w:lang w:val="en-US"/>
        </w:rPr>
        <w:t>, [online] 15(9), pp.7354–7354. doi:https://doi.org/10.3390/su15097354.</w:t>
      </w:r>
    </w:p>
    <w:p w14:paraId="252DF450">
      <w:pPr>
        <w:pStyle w:val="20"/>
        <w:spacing w:before="0" w:beforeAutospacing="0" w:after="240" w:afterAutospacing="0" w:line="360" w:lineRule="atLeast"/>
        <w:rPr>
          <w:color w:val="000000"/>
          <w:highlight w:val="none"/>
          <w:lang w:val="en-US"/>
        </w:rPr>
      </w:pPr>
      <w:r>
        <w:rPr>
          <w:color w:val="000000"/>
          <w:highlight w:val="none"/>
          <w:lang w:val="en-US"/>
        </w:rPr>
        <w:t>‌</w:t>
      </w:r>
      <w:r>
        <w:rPr>
          <w:color w:val="000000"/>
          <w:highlight w:val="none"/>
        </w:rPr>
        <w:t xml:space="preserve"> </w:t>
      </w:r>
      <w:r>
        <w:rPr>
          <w:color w:val="000000"/>
          <w:highlight w:val="none"/>
          <w:lang w:val="en-US"/>
        </w:rPr>
        <w:t>Massoud, M.A., Fayad, R., Mutasem El-Fadel and Rabih Kamleh (2010). Drivers, barriers and incentives to implementing environmental management systems in the food industry: A case of Lebanon. </w:t>
      </w:r>
      <w:r>
        <w:rPr>
          <w:i/>
          <w:iCs/>
          <w:color w:val="000000"/>
          <w:highlight w:val="none"/>
          <w:lang w:val="en-US"/>
        </w:rPr>
        <w:t>Journal of Cleaner Production</w:t>
      </w:r>
      <w:r>
        <w:rPr>
          <w:color w:val="000000"/>
          <w:highlight w:val="none"/>
          <w:lang w:val="en-US"/>
        </w:rPr>
        <w:t>, [online] 18(3), pp.200–209. doi:https://doi.org/10.1016/j.jclepro.2009.09.022.</w:t>
      </w:r>
    </w:p>
    <w:p w14:paraId="03B62C57">
      <w:pPr>
        <w:pStyle w:val="20"/>
        <w:spacing w:before="0" w:beforeAutospacing="0" w:after="240" w:afterAutospacing="0" w:line="360" w:lineRule="atLeast"/>
        <w:rPr>
          <w:color w:val="000000"/>
          <w:highlight w:val="none"/>
          <w:lang w:val="en-US"/>
        </w:rPr>
      </w:pPr>
      <w:r>
        <w:rPr>
          <w:color w:val="000000"/>
          <w:highlight w:val="none"/>
          <w:lang w:val="en-US"/>
        </w:rPr>
        <w:t>‌</w:t>
      </w:r>
      <w:r>
        <w:rPr>
          <w:color w:val="000000"/>
          <w:highlight w:val="none"/>
        </w:rPr>
        <w:t xml:space="preserve"> </w:t>
      </w:r>
      <w:r>
        <w:rPr>
          <w:color w:val="000000"/>
          <w:highlight w:val="none"/>
          <w:lang w:val="en-US"/>
        </w:rPr>
        <w:t>Yaser Hasan Al-Mamary (2022). Understanding the use of learning management systems by undergraduate university students using the UTAUT model: Credible evidence from Saudi Arabia. </w:t>
      </w:r>
      <w:r>
        <w:rPr>
          <w:i/>
          <w:iCs/>
          <w:color w:val="000000"/>
          <w:highlight w:val="none"/>
          <w:lang w:val="en-US"/>
        </w:rPr>
        <w:t>International journal of information management data insights</w:t>
      </w:r>
      <w:r>
        <w:rPr>
          <w:color w:val="000000"/>
          <w:highlight w:val="none"/>
          <w:lang w:val="en-US"/>
        </w:rPr>
        <w:t>, [online] 2(2), pp.100092–100092. doi:https://doi.org/10.1016/j.jjimei.2022.100092.</w:t>
      </w:r>
    </w:p>
    <w:p w14:paraId="5E563730">
      <w:pPr>
        <w:pStyle w:val="20"/>
        <w:spacing w:before="0" w:beforeAutospacing="0" w:after="240" w:afterAutospacing="0" w:line="360" w:lineRule="atLeast"/>
        <w:rPr>
          <w:color w:val="000000"/>
          <w:highlight w:val="none"/>
          <w:lang w:val="en-US"/>
        </w:rPr>
      </w:pPr>
      <w:r>
        <w:rPr>
          <w:color w:val="000000"/>
          <w:highlight w:val="none"/>
          <w:lang w:val="en-US"/>
        </w:rPr>
        <w:t>‌</w:t>
      </w:r>
      <w:r>
        <w:rPr>
          <w:color w:val="000000"/>
          <w:highlight w:val="none"/>
        </w:rPr>
        <w:t xml:space="preserve"> </w:t>
      </w:r>
      <w:r>
        <w:rPr>
          <w:color w:val="000000"/>
          <w:highlight w:val="none"/>
          <w:lang w:val="en-US"/>
        </w:rPr>
        <w:t>Yusuf, F.A. (2023). Universitas Bina Bangsa Repository. </w:t>
      </w:r>
      <w:r>
        <w:rPr>
          <w:i/>
          <w:iCs/>
          <w:color w:val="000000"/>
          <w:highlight w:val="none"/>
          <w:lang w:val="en-US"/>
        </w:rPr>
        <w:t>Lib-binabangsa.ac.id</w:t>
      </w:r>
      <w:r>
        <w:rPr>
          <w:color w:val="000000"/>
          <w:highlight w:val="none"/>
          <w:lang w:val="en-US"/>
        </w:rPr>
        <w:t>. [online] doi:http://repository.lib-binabangsa.ac.id/id/eprint/6/2/iji_2023_2_10.pdf.</w:t>
      </w:r>
    </w:p>
    <w:p w14:paraId="2CF505AA">
      <w:pPr>
        <w:pStyle w:val="20"/>
        <w:spacing w:before="0" w:beforeAutospacing="0" w:after="240" w:afterAutospacing="0" w:line="360" w:lineRule="atLeast"/>
        <w:rPr>
          <w:color w:val="000000"/>
          <w:highlight w:val="none"/>
          <w:lang w:val="en-US"/>
        </w:rPr>
      </w:pPr>
      <w:r>
        <w:rPr>
          <w:color w:val="000000"/>
          <w:highlight w:val="none"/>
          <w:lang w:val="en-US"/>
        </w:rPr>
        <w:t>‌</w:t>
      </w:r>
      <w:r>
        <w:rPr>
          <w:color w:val="000000"/>
          <w:highlight w:val="none"/>
        </w:rPr>
        <w:t xml:space="preserve"> </w:t>
      </w:r>
      <w:r>
        <w:rPr>
          <w:color w:val="000000"/>
          <w:highlight w:val="none"/>
          <w:lang w:val="en-US"/>
        </w:rPr>
        <w:t>Faqihi, A. and Shah Jahan Miah (2023). Artificial Intelligence-Driven Talent Management System: Exploring the Risks and Options for Constructing a Theoretical Foundation. </w:t>
      </w:r>
      <w:r>
        <w:rPr>
          <w:i/>
          <w:iCs/>
          <w:color w:val="000000"/>
          <w:highlight w:val="none"/>
          <w:lang w:val="en-US"/>
        </w:rPr>
        <w:t>Journal of risk and financial management</w:t>
      </w:r>
      <w:r>
        <w:rPr>
          <w:color w:val="000000"/>
          <w:highlight w:val="none"/>
          <w:lang w:val="en-US"/>
        </w:rPr>
        <w:t>, [online] 16(1), pp.31–31. doi:https://doi.org/10.3390/jrfm16010031.</w:t>
      </w:r>
    </w:p>
    <w:p w14:paraId="4BC420EE">
      <w:pPr>
        <w:pStyle w:val="20"/>
        <w:spacing w:before="0" w:beforeAutospacing="0" w:after="240" w:afterAutospacing="0" w:line="360" w:lineRule="atLeast"/>
        <w:rPr>
          <w:color w:val="000000"/>
          <w:highlight w:val="none"/>
          <w:lang w:val="en-US"/>
        </w:rPr>
      </w:pPr>
      <w:r>
        <w:rPr>
          <w:color w:val="000000"/>
          <w:highlight w:val="none"/>
          <w:lang w:val="en-US"/>
        </w:rPr>
        <w:t>‌</w:t>
      </w:r>
      <w:r>
        <w:rPr>
          <w:color w:val="000000"/>
          <w:highlight w:val="none"/>
        </w:rPr>
        <w:t xml:space="preserve"> </w:t>
      </w:r>
      <w:r>
        <w:rPr>
          <w:color w:val="000000"/>
          <w:highlight w:val="none"/>
          <w:lang w:val="en-US"/>
        </w:rPr>
        <w:t>Naif Al Azmi, Sweis, G., Sweis, R.J. and Farouq Sammour (2022). Exploring Implementation of Blockchain for the Supply Chain Resilience and Sustainability of the Construction Industry in Saudi Arabia. </w:t>
      </w:r>
      <w:r>
        <w:rPr>
          <w:i/>
          <w:iCs/>
          <w:color w:val="000000"/>
          <w:highlight w:val="none"/>
          <w:lang w:val="en-US"/>
        </w:rPr>
        <w:t>Sustainability</w:t>
      </w:r>
      <w:r>
        <w:rPr>
          <w:color w:val="000000"/>
          <w:highlight w:val="none"/>
          <w:lang w:val="en-US"/>
        </w:rPr>
        <w:t>, [online] 14(11), pp.6427–6427. doi:https://doi.org/10.3390/su14116427.</w:t>
      </w:r>
    </w:p>
    <w:p w14:paraId="0279D145">
      <w:pPr>
        <w:pStyle w:val="20"/>
        <w:spacing w:before="0" w:beforeAutospacing="0" w:after="240" w:afterAutospacing="0" w:line="360" w:lineRule="atLeast"/>
        <w:rPr>
          <w:color w:val="000000"/>
          <w:highlight w:val="none"/>
          <w:lang w:val="en-US"/>
        </w:rPr>
      </w:pPr>
      <w:r>
        <w:rPr>
          <w:color w:val="000000"/>
          <w:highlight w:val="none"/>
          <w:lang w:val="en-US"/>
        </w:rPr>
        <w:t>‌</w:t>
      </w:r>
      <w:r>
        <w:rPr>
          <w:color w:val="000000"/>
          <w:highlight w:val="none"/>
        </w:rPr>
        <w:t xml:space="preserve"> </w:t>
      </w:r>
      <w:r>
        <w:rPr>
          <w:color w:val="000000"/>
          <w:highlight w:val="none"/>
          <w:lang w:val="en-US"/>
        </w:rPr>
        <w:t>Bernardus Ariono, Meditya Wasesa and Wawan Dhewanto (2022). The Drivers, Barriers, and Enablers of Building Information Modeling (BIM) Innovation in Developing Countries: Insights from Systematic Literature Review and Comparative Analysis. </w:t>
      </w:r>
      <w:r>
        <w:rPr>
          <w:i/>
          <w:iCs/>
          <w:color w:val="000000"/>
          <w:highlight w:val="none"/>
          <w:lang w:val="en-US"/>
        </w:rPr>
        <w:t>Buildings</w:t>
      </w:r>
      <w:r>
        <w:rPr>
          <w:color w:val="000000"/>
          <w:highlight w:val="none"/>
          <w:lang w:val="en-US"/>
        </w:rPr>
        <w:t>, [online] 12(11), pp.1912–1912. doi:https://doi.org/10.3390/buildings12111912.</w:t>
      </w:r>
    </w:p>
    <w:p w14:paraId="57C01AD8">
      <w:pPr>
        <w:pStyle w:val="20"/>
        <w:spacing w:before="0" w:beforeAutospacing="0" w:after="240" w:afterAutospacing="0" w:line="360" w:lineRule="atLeast"/>
        <w:rPr>
          <w:color w:val="000000"/>
          <w:highlight w:val="none"/>
          <w:lang w:val="en-US"/>
        </w:rPr>
      </w:pPr>
      <w:r>
        <w:rPr>
          <w:color w:val="000000"/>
          <w:highlight w:val="none"/>
          <w:lang w:val="en-US"/>
        </w:rPr>
        <w:t>‌</w:t>
      </w:r>
      <w:r>
        <w:rPr>
          <w:color w:val="000000"/>
          <w:highlight w:val="none"/>
        </w:rPr>
        <w:t xml:space="preserve"> </w:t>
      </w:r>
      <w:r>
        <w:rPr>
          <w:color w:val="000000"/>
          <w:highlight w:val="none"/>
          <w:lang w:val="en-US"/>
        </w:rPr>
        <w:t>Badr Alsolami (2022). Identifying and assessing critical success factors of value management implementation in Saudi Arabia building construction industry. </w:t>
      </w:r>
      <w:r>
        <w:rPr>
          <w:i/>
          <w:iCs/>
          <w:color w:val="000000"/>
          <w:highlight w:val="none"/>
          <w:lang w:val="en-US"/>
        </w:rPr>
        <w:t>Ain Shams Engineering Journal</w:t>
      </w:r>
      <w:r>
        <w:rPr>
          <w:color w:val="000000"/>
          <w:highlight w:val="none"/>
          <w:lang w:val="en-US"/>
        </w:rPr>
        <w:t>, [online] 13(6), pp.101804–101804. doi:https://doi.org/10.1016/j.asej.2022.101804.</w:t>
      </w:r>
    </w:p>
    <w:p w14:paraId="66CDD386">
      <w:pPr>
        <w:spacing w:before="100" w:beforeAutospacing="1" w:after="100" w:afterAutospacing="1" w:line="240" w:lineRule="auto"/>
        <w:jc w:val="left"/>
        <w:rPr>
          <w:rFonts w:eastAsia="Times New Roman" w:cs="Times New Roman"/>
          <w:color w:val="000000"/>
          <w:szCs w:val="24"/>
          <w:highlight w:val="none"/>
          <w:lang w:val="en-US"/>
        </w:rPr>
      </w:pPr>
      <w:r>
        <w:rPr>
          <w:rFonts w:eastAsia="Times New Roman" w:cs="Times New Roman"/>
          <w:color w:val="000000"/>
          <w:szCs w:val="24"/>
          <w:highlight w:val="none"/>
          <w:lang w:val="en-US"/>
        </w:rPr>
        <w:t>‌</w:t>
      </w:r>
    </w:p>
    <w:p w14:paraId="3C2249B3">
      <w:pPr>
        <w:spacing w:before="100" w:beforeAutospacing="1" w:after="100" w:afterAutospacing="1" w:line="240" w:lineRule="auto"/>
        <w:jc w:val="left"/>
        <w:rPr>
          <w:rFonts w:eastAsia="Times New Roman" w:cs="Times New Roman"/>
          <w:color w:val="000000"/>
          <w:szCs w:val="24"/>
          <w:highlight w:val="none"/>
          <w:lang w:val="en-US"/>
        </w:rPr>
      </w:pPr>
    </w:p>
    <w:p w14:paraId="3AAAE369">
      <w:pPr>
        <w:spacing w:before="100" w:beforeAutospacing="1" w:after="100" w:afterAutospacing="1" w:line="240" w:lineRule="auto"/>
        <w:jc w:val="left"/>
        <w:rPr>
          <w:rFonts w:eastAsia="Times New Roman" w:cs="Times New Roman"/>
          <w:color w:val="000000"/>
          <w:szCs w:val="24"/>
          <w:highlight w:val="none"/>
          <w:lang w:val="en-US"/>
        </w:rPr>
      </w:pPr>
    </w:p>
    <w:p w14:paraId="1C91E131">
      <w:pPr>
        <w:spacing w:before="100" w:beforeAutospacing="1" w:after="100" w:afterAutospacing="1" w:line="240" w:lineRule="auto"/>
        <w:jc w:val="left"/>
        <w:rPr>
          <w:rFonts w:eastAsia="Times New Roman" w:cs="Times New Roman"/>
          <w:color w:val="000000"/>
          <w:szCs w:val="24"/>
          <w:highlight w:val="none"/>
          <w:lang w:val="en-US"/>
        </w:rPr>
      </w:pPr>
    </w:p>
    <w:p w14:paraId="5B6345F7">
      <w:pPr>
        <w:spacing w:before="100" w:beforeAutospacing="1" w:after="100" w:afterAutospacing="1" w:line="240" w:lineRule="auto"/>
        <w:jc w:val="left"/>
        <w:rPr>
          <w:rFonts w:eastAsia="Times New Roman" w:cs="Times New Roman"/>
          <w:color w:val="000000"/>
          <w:szCs w:val="24"/>
          <w:highlight w:val="none"/>
          <w:lang w:val="en-US"/>
        </w:rPr>
      </w:pPr>
    </w:p>
    <w:p w14:paraId="52BCFE24">
      <w:pPr>
        <w:spacing w:before="100" w:beforeAutospacing="1" w:after="100" w:afterAutospacing="1" w:line="240" w:lineRule="auto"/>
        <w:jc w:val="left"/>
        <w:rPr>
          <w:rFonts w:eastAsia="Times New Roman" w:cs="Times New Roman"/>
          <w:color w:val="000000"/>
          <w:szCs w:val="24"/>
          <w:highlight w:val="none"/>
          <w:lang w:val="en-US"/>
        </w:rPr>
      </w:pPr>
    </w:p>
    <w:p w14:paraId="408B5E1F">
      <w:pPr>
        <w:spacing w:before="100" w:beforeAutospacing="1" w:after="100" w:afterAutospacing="1" w:line="240" w:lineRule="auto"/>
        <w:jc w:val="left"/>
        <w:rPr>
          <w:rFonts w:eastAsia="Times New Roman" w:cs="Times New Roman"/>
          <w:color w:val="000000"/>
          <w:szCs w:val="24"/>
          <w:highlight w:val="none"/>
          <w:lang w:val="en-US"/>
        </w:rPr>
      </w:pPr>
    </w:p>
    <w:p w14:paraId="4F6EEBE1">
      <w:pPr>
        <w:spacing w:before="100" w:beforeAutospacing="1" w:after="100" w:afterAutospacing="1" w:line="240" w:lineRule="auto"/>
        <w:jc w:val="left"/>
        <w:rPr>
          <w:rFonts w:eastAsia="Times New Roman" w:cs="Times New Roman"/>
          <w:color w:val="000000"/>
          <w:szCs w:val="24"/>
          <w:highlight w:val="none"/>
          <w:lang w:val="en-US"/>
        </w:rPr>
      </w:pPr>
    </w:p>
    <w:p w14:paraId="2A0B92AB">
      <w:pPr>
        <w:spacing w:before="100" w:beforeAutospacing="1" w:after="100" w:afterAutospacing="1" w:line="240" w:lineRule="auto"/>
        <w:jc w:val="left"/>
        <w:rPr>
          <w:rFonts w:eastAsia="Times New Roman" w:cs="Times New Roman"/>
          <w:color w:val="000000"/>
          <w:szCs w:val="24"/>
          <w:highlight w:val="none"/>
          <w:lang w:val="en-US"/>
        </w:rPr>
      </w:pPr>
    </w:p>
    <w:p w14:paraId="4543E6A0">
      <w:pPr>
        <w:spacing w:before="100" w:beforeAutospacing="1" w:after="100" w:afterAutospacing="1" w:line="240" w:lineRule="auto"/>
        <w:jc w:val="left"/>
        <w:rPr>
          <w:rFonts w:eastAsia="Times New Roman" w:cs="Times New Roman"/>
          <w:color w:val="000000"/>
          <w:szCs w:val="24"/>
          <w:highlight w:val="none"/>
          <w:lang w:val="en-US"/>
        </w:rPr>
      </w:pPr>
    </w:p>
    <w:p w14:paraId="37A4F0C1">
      <w:pPr>
        <w:ind w:left="720" w:hanging="720"/>
        <w:rPr>
          <w:highlight w:val="none"/>
          <w:shd w:val="clear" w:color="auto" w:fill="FFFFFF"/>
        </w:rPr>
      </w:pPr>
    </w:p>
    <w:p w14:paraId="74F14DD5">
      <w:pPr>
        <w:ind w:left="720" w:hanging="720"/>
        <w:rPr>
          <w:highlight w:val="none"/>
          <w:shd w:val="clear" w:color="auto" w:fill="FFFFFF"/>
        </w:rPr>
      </w:pPr>
      <w:r>
        <w:rPr>
          <w:highlight w:val="none"/>
          <w:shd w:val="clear" w:color="auto" w:fill="FFFFFF"/>
        </w:rPr>
        <w:t>Abeysinghe, S., 2022. Project Quality Management. In Managing Information Technology Projects: Building a Body of Knowledge in IT Project Management (pp. 245-281).</w:t>
      </w:r>
    </w:p>
    <w:p w14:paraId="53E8710D">
      <w:pPr>
        <w:ind w:left="720" w:hanging="720"/>
        <w:rPr>
          <w:highlight w:val="none"/>
          <w:shd w:val="clear" w:color="auto" w:fill="FFFFFF"/>
        </w:rPr>
      </w:pPr>
      <w:r>
        <w:rPr>
          <w:highlight w:val="none"/>
          <w:shd w:val="clear" w:color="auto" w:fill="FFFFFF"/>
        </w:rPr>
        <w:t>Bravi, L., Murmura, F. and Santos, G., 2019. The ISO 9001: 2015 quality management system standard: Companies' drivers, benefits and barriers to its implementation. Quality Innovation Prosperity, 23(2), pp.64-82.</w:t>
      </w:r>
    </w:p>
    <w:p w14:paraId="2F84DEF0">
      <w:pPr>
        <w:ind w:left="720" w:hanging="720"/>
        <w:rPr>
          <w:highlight w:val="none"/>
          <w:shd w:val="clear" w:color="auto" w:fill="FFFFFF"/>
        </w:rPr>
      </w:pPr>
      <w:r>
        <w:rPr>
          <w:highlight w:val="none"/>
          <w:shd w:val="clear" w:color="auto" w:fill="FFFFFF"/>
        </w:rPr>
        <w:t>Bouranta, N., Psomas, E., Suárez-Barraza, M.F. and Jaca, C., 2019. The key factors of total quality management in the service sector: a cross-cultural study. Benchmarking: An International Journal, 26(3), pp.893-921.</w:t>
      </w:r>
    </w:p>
    <w:p w14:paraId="361A4993">
      <w:pPr>
        <w:ind w:left="720" w:hanging="720"/>
        <w:rPr>
          <w:highlight w:val="none"/>
          <w:shd w:val="clear" w:color="auto" w:fill="FFFFFF"/>
        </w:rPr>
      </w:pPr>
      <w:r>
        <w:rPr>
          <w:highlight w:val="none"/>
          <w:shd w:val="clear" w:color="auto" w:fill="FFFFFF"/>
        </w:rPr>
        <w:t>Lekan, A., Clinton, A., Stella, E., Moses, E. and Biodun, O., 2022. Construction 4.0 Application: Industry 4.0, Internet of Things and Lean Construction Tools’ Application in Quality Management System of Residential Building Projects. Buildings, 12(10), p.1557.</w:t>
      </w:r>
    </w:p>
    <w:p w14:paraId="4FFD2966">
      <w:pPr>
        <w:ind w:left="720" w:hanging="720"/>
        <w:rPr>
          <w:highlight w:val="none"/>
          <w:shd w:val="clear" w:color="auto" w:fill="FFFFFF"/>
        </w:rPr>
      </w:pPr>
      <w:r>
        <w:rPr>
          <w:highlight w:val="none"/>
          <w:shd w:val="clear" w:color="auto" w:fill="FFFFFF"/>
        </w:rPr>
        <w:t>Pehlivan, D. and Cicek, K., 2021. A knowledge-based model on quality management system compliance assessment for maritime higher education institutions. Quality in Higher Education, 27(2), pp.239-263.</w:t>
      </w:r>
    </w:p>
    <w:p w14:paraId="02BB5C11">
      <w:pPr>
        <w:ind w:left="720" w:hanging="720"/>
        <w:rPr>
          <w:highlight w:val="none"/>
          <w:shd w:val="clear" w:color="auto" w:fill="FFFFFF"/>
        </w:rPr>
      </w:pPr>
      <w:r>
        <w:rPr>
          <w:highlight w:val="none"/>
          <w:shd w:val="clear" w:color="auto" w:fill="FFFFFF"/>
        </w:rPr>
        <w:t>Odiba, E., Demian, P. and Ruikar, K., 2021. Development of a Conceptual Framework for Effective Quality Management Practices in Construction Organisations. Journal of Construction Business and Management, 5(1), pp.1-16.</w:t>
      </w:r>
    </w:p>
    <w:p w14:paraId="68FA4F7F">
      <w:pPr>
        <w:ind w:left="720" w:hanging="720"/>
        <w:rPr>
          <w:highlight w:val="none"/>
          <w:shd w:val="clear" w:color="auto" w:fill="FFFFFF"/>
        </w:rPr>
      </w:pPr>
      <w:r>
        <w:rPr>
          <w:highlight w:val="none"/>
          <w:shd w:val="clear" w:color="auto" w:fill="FFFFFF"/>
        </w:rPr>
        <w:t>Alanazi, B.M., 2021. An Assessment of Quality Management Systems and Practices in General Hospitals in Kingdom of Saudi Arabia (KSA): Towards Initiating a Holistic Framework (Doctoral dissertation, Manchester Metropolitan University).</w:t>
      </w:r>
    </w:p>
    <w:p w14:paraId="44D59D60">
      <w:pPr>
        <w:ind w:left="720" w:hanging="720"/>
        <w:rPr>
          <w:highlight w:val="none"/>
          <w:shd w:val="clear" w:color="auto" w:fill="FFFFFF"/>
        </w:rPr>
      </w:pPr>
      <w:r>
        <w:rPr>
          <w:highlight w:val="none"/>
          <w:shd w:val="clear" w:color="auto" w:fill="FFFFFF"/>
        </w:rPr>
        <w:t>Mhatre, T.B. and Kumthekar, M.B., 2021. The Strategy of Implementation of Quality Management System in Offshore Construction Field.</w:t>
      </w:r>
    </w:p>
    <w:p w14:paraId="68285AC6">
      <w:pPr>
        <w:ind w:left="720" w:hanging="720"/>
        <w:rPr>
          <w:highlight w:val="none"/>
          <w:shd w:val="clear" w:color="auto" w:fill="FFFFFF"/>
        </w:rPr>
      </w:pPr>
      <w:r>
        <w:rPr>
          <w:highlight w:val="none"/>
          <w:shd w:val="clear" w:color="auto" w:fill="FFFFFF"/>
        </w:rPr>
        <w:t>Olafsdottir, A.H., Sverdrup, H., Stefansson, G. and Ingason, H.T., 2019. Using system dynamics to better understand quality management in the construction industry. </w:t>
      </w:r>
      <w:r>
        <w:rPr>
          <w:i/>
          <w:iCs/>
          <w:highlight w:val="none"/>
          <w:shd w:val="clear" w:color="auto" w:fill="FFFFFF"/>
        </w:rPr>
        <w:t>International Journal of Productivity and Quality Management</w:t>
      </w:r>
      <w:r>
        <w:rPr>
          <w:highlight w:val="none"/>
          <w:shd w:val="clear" w:color="auto" w:fill="FFFFFF"/>
        </w:rPr>
        <w:t>, </w:t>
      </w:r>
      <w:r>
        <w:rPr>
          <w:i/>
          <w:iCs/>
          <w:highlight w:val="none"/>
          <w:shd w:val="clear" w:color="auto" w:fill="FFFFFF"/>
        </w:rPr>
        <w:t>26</w:t>
      </w:r>
      <w:r>
        <w:rPr>
          <w:highlight w:val="none"/>
          <w:shd w:val="clear" w:color="auto" w:fill="FFFFFF"/>
        </w:rPr>
        <w:t>(2), pp.223-245.</w:t>
      </w:r>
    </w:p>
    <w:p w14:paraId="48FB0D2E">
      <w:pPr>
        <w:ind w:left="720" w:hanging="720"/>
        <w:rPr>
          <w:highlight w:val="none"/>
          <w:shd w:val="clear" w:color="auto" w:fill="FFFFFF"/>
        </w:rPr>
      </w:pPr>
      <w:r>
        <w:rPr>
          <w:highlight w:val="none"/>
          <w:shd w:val="clear" w:color="auto" w:fill="FFFFFF"/>
        </w:rPr>
        <w:t>Kumar, T.N. and Kumar, P.N., 2019. Implementation of Quality Management System in Construction Industry. International Journal of Research in Engineering, Science and Management, 2(6), pp.122-130.</w:t>
      </w:r>
    </w:p>
    <w:p w14:paraId="03956E76">
      <w:pPr>
        <w:ind w:left="720" w:hanging="720"/>
        <w:rPr>
          <w:highlight w:val="none"/>
          <w:shd w:val="clear" w:color="auto" w:fill="FFFFFF"/>
        </w:rPr>
      </w:pPr>
      <w:r>
        <w:rPr>
          <w:highlight w:val="none"/>
          <w:shd w:val="clear" w:color="auto" w:fill="FFFFFF"/>
        </w:rPr>
        <w:t>Mon, T.Y., 2020. Study of risks assessment for implementation of QMS in MYANMAR construction industry. Proceedings on Engineering Sciences, 2(1), pp.73-80.</w:t>
      </w:r>
    </w:p>
    <w:p w14:paraId="27B5558C">
      <w:pPr>
        <w:ind w:left="720" w:hanging="720"/>
        <w:rPr>
          <w:highlight w:val="none"/>
          <w:shd w:val="clear" w:color="auto" w:fill="FFFFFF"/>
        </w:rPr>
      </w:pPr>
      <w:r>
        <w:rPr>
          <w:highlight w:val="none"/>
          <w:shd w:val="clear" w:color="auto" w:fill="FFFFFF"/>
        </w:rPr>
        <w:t>Riaz, H., Khan, K.I.A., Ullah, F., Tahir, M.B., Alqurashi, M. and Alsulami, B.T., 2023. Key factors for implementation of total quality management in construction Sector: A system dynamics approach. Ain Shams Engineering Journal, 14(3), p.101903.</w:t>
      </w:r>
    </w:p>
    <w:p w14:paraId="4238A850">
      <w:pPr>
        <w:ind w:left="720" w:hanging="720"/>
        <w:rPr>
          <w:highlight w:val="none"/>
          <w:shd w:val="clear" w:color="auto" w:fill="FFFFFF"/>
        </w:rPr>
      </w:pPr>
      <w:r>
        <w:rPr>
          <w:highlight w:val="none"/>
          <w:shd w:val="clear" w:color="auto" w:fill="FFFFFF"/>
        </w:rPr>
        <w:t>Do, M.H., Huang, Y.F. and Do, T.N., 2021. The effect of total quality management-enabling factors on corporate social responsibility and business performance: Evidence from Vietnamese coffee firms. Benchmarking: An International Journal, 28(4), pp.1296-1318.</w:t>
      </w:r>
    </w:p>
    <w:p w14:paraId="5AF77023">
      <w:pPr>
        <w:ind w:left="720" w:hanging="720"/>
        <w:rPr>
          <w:highlight w:val="none"/>
          <w:shd w:val="clear" w:color="auto" w:fill="FFFFFF"/>
        </w:rPr>
      </w:pPr>
      <w:r>
        <w:rPr>
          <w:highlight w:val="none"/>
          <w:shd w:val="clear" w:color="auto" w:fill="FFFFFF"/>
        </w:rPr>
        <w:t>Warsi, S., Alsulami, H. and Alkabaa, A.S., 2023. The effectiveness of quality management system ISO 9001: 2015 in Saudi Arabia. International Journal of Productivity and Quality Management, 39(1), pp.66-96.</w:t>
      </w:r>
    </w:p>
    <w:p w14:paraId="3C1CEA26">
      <w:pPr>
        <w:ind w:left="720" w:hanging="720"/>
        <w:rPr>
          <w:highlight w:val="none"/>
          <w:shd w:val="clear" w:color="auto" w:fill="FFFFFF"/>
        </w:rPr>
      </w:pPr>
      <w:r>
        <w:rPr>
          <w:highlight w:val="none"/>
          <w:shd w:val="clear" w:color="auto" w:fill="FFFFFF"/>
        </w:rPr>
        <w:t>Renukappa, S., Suresh, S. and Alosaimi, H., 2021. Knowledge management-related training strategies in Kingdom of Saudi Arabia construction industry: An empirical study. International Journal of Construction Management, 21(7), pp.713-723.</w:t>
      </w:r>
    </w:p>
    <w:p w14:paraId="106BC7D8">
      <w:pPr>
        <w:ind w:left="720" w:hanging="720"/>
        <w:rPr>
          <w:highlight w:val="none"/>
          <w:shd w:val="clear" w:color="auto" w:fill="FFFFFF"/>
        </w:rPr>
      </w:pPr>
      <w:r>
        <w:rPr>
          <w:highlight w:val="none"/>
          <w:shd w:val="clear" w:color="auto" w:fill="FFFFFF"/>
        </w:rPr>
        <w:t>Jaiswal, S., Gbadamosi, A.Q., Olawale, O. and Oluwayemi, B., 2022. Enabling Quality in Lean Construction: Integrating the Principles of Total Quality Management with 9D-BIM.</w:t>
      </w:r>
    </w:p>
    <w:p w14:paraId="2F1A54D8">
      <w:pPr>
        <w:ind w:left="720" w:hanging="720"/>
        <w:rPr>
          <w:highlight w:val="none"/>
          <w:shd w:val="clear" w:color="auto" w:fill="FFFFFF"/>
        </w:rPr>
      </w:pPr>
      <w:r>
        <w:rPr>
          <w:highlight w:val="none"/>
          <w:shd w:val="clear" w:color="auto" w:fill="FFFFFF"/>
        </w:rPr>
        <w:t>Abdelalim, A.M. and Eldesouky, M.A., 2021. Evaluating Contracting Companies According to Quality Management System Requirements in Construction Projects.</w:t>
      </w:r>
    </w:p>
    <w:p w14:paraId="032007FB">
      <w:pPr>
        <w:ind w:left="720" w:hanging="720"/>
        <w:rPr>
          <w:highlight w:val="none"/>
          <w:shd w:val="clear" w:color="auto" w:fill="FFFFFF"/>
        </w:rPr>
      </w:pPr>
      <w:r>
        <w:rPr>
          <w:highlight w:val="none"/>
          <w:shd w:val="clear" w:color="auto" w:fill="FFFFFF"/>
        </w:rPr>
        <w:t>Xaba-Jama, N., (2019) The integration of quality management systems into the strategic business plan (a case study of Eskom). University of Johannesburg (South Africa).</w:t>
      </w:r>
    </w:p>
    <w:p w14:paraId="46C13A6A">
      <w:pPr>
        <w:ind w:left="720" w:hanging="720"/>
        <w:rPr>
          <w:highlight w:val="none"/>
          <w:shd w:val="clear" w:color="auto" w:fill="FFFFFF"/>
        </w:rPr>
      </w:pPr>
      <w:r>
        <w:rPr>
          <w:highlight w:val="none"/>
          <w:shd w:val="clear" w:color="auto" w:fill="FFFFFF"/>
        </w:rPr>
        <w:t>Zand, A. and Dehyouri, S., (2022) Path Analysis of the Effect of Supply Chain Management and Total Quality Management on Improving Employees Services Quality. Journal of Agricultural Science and Technology, 24(1), pp.43-56.</w:t>
      </w:r>
    </w:p>
    <w:p w14:paraId="346AEE2A">
      <w:pPr>
        <w:ind w:left="720" w:hanging="720"/>
        <w:rPr>
          <w:highlight w:val="none"/>
          <w:shd w:val="clear" w:color="auto" w:fill="FFFFFF"/>
        </w:rPr>
      </w:pPr>
      <w:r>
        <w:rPr>
          <w:highlight w:val="none"/>
          <w:shd w:val="clear" w:color="auto" w:fill="FFFFFF"/>
        </w:rPr>
        <w:t>Amri, T. and Marey-Pérez, M., (2020). Towards a sustainable construction industry: Delays and cost overrun causes in construction projects of Oman. Journal of Project Management, 5(2), pp.87-102.</w:t>
      </w:r>
    </w:p>
    <w:p w14:paraId="7E424C03">
      <w:pPr>
        <w:ind w:left="720" w:hanging="720"/>
        <w:rPr>
          <w:highlight w:val="none"/>
          <w:shd w:val="clear" w:color="auto" w:fill="FFFFFF"/>
        </w:rPr>
      </w:pPr>
      <w:r>
        <w:rPr>
          <w:highlight w:val="none"/>
          <w:shd w:val="clear" w:color="auto" w:fill="FFFFFF"/>
        </w:rPr>
        <w:t>Alawag, A.M., Alaloul, W.S., Liew, M.S., Baarimah, A.O., Musarat, M.A. and Al-Mekhlafi, A.B.A., 2023. The Role of the Total-Quality-Management (TQM) Drivers in Overcoming the Challenges of Implementing TQM in Industrialized-Building-System (IBS) Projects in Malaysia: Experts’ Perspectives. Sustainability, 15(8), p.6607.</w:t>
      </w:r>
    </w:p>
    <w:p w14:paraId="7C021160">
      <w:pPr>
        <w:ind w:left="720" w:hanging="720"/>
        <w:rPr>
          <w:highlight w:val="none"/>
          <w:shd w:val="clear" w:color="auto" w:fill="FFFFFF"/>
        </w:rPr>
      </w:pPr>
      <w:r>
        <w:rPr>
          <w:highlight w:val="none"/>
          <w:shd w:val="clear" w:color="auto" w:fill="FFFFFF"/>
        </w:rPr>
        <w:t>Aichouni, M., Touahmia, M., Alshammari, S., Said, M.A., Aichouni, A.B.E., Almudayries, M. and Aljohani, H., 2023. An empirical study of the contribution of total quality management to occupational safety and health performance in Saudi organizations. International journal of environmental research and public health, 20(2), p.1495.</w:t>
      </w:r>
    </w:p>
    <w:p w14:paraId="481C05F1">
      <w:pPr>
        <w:ind w:left="720" w:hanging="720"/>
        <w:rPr>
          <w:highlight w:val="none"/>
          <w:shd w:val="clear" w:color="auto" w:fill="FFFFFF"/>
        </w:rPr>
      </w:pPr>
      <w:r>
        <w:rPr>
          <w:highlight w:val="none"/>
          <w:shd w:val="clear" w:color="auto" w:fill="FFFFFF"/>
        </w:rPr>
        <w:t>Albassam, B.A., 2019. Building an effective knowledge management system in Saudi Arabia using the principles of good governance. Resources Policy, 64, p.101531.</w:t>
      </w:r>
    </w:p>
    <w:p w14:paraId="35B3DEA2">
      <w:pPr>
        <w:ind w:left="720" w:hanging="720"/>
        <w:rPr>
          <w:highlight w:val="none"/>
          <w:shd w:val="clear" w:color="auto" w:fill="FFFFFF"/>
        </w:rPr>
      </w:pPr>
      <w:r>
        <w:rPr>
          <w:highlight w:val="none"/>
          <w:shd w:val="clear" w:color="auto" w:fill="FFFFFF"/>
        </w:rPr>
        <w:t>EssamShaawat, M. and Alyagoub, M., 2019. Supply chain management in building commissioning process in accordance with the leadership in energy &amp; environmental design (LEED)–A case study of KSA construction industry. Int J Supply Chain Manage, 8, pp.1144-1159.</w:t>
      </w:r>
    </w:p>
    <w:p w14:paraId="1548E2F5">
      <w:pPr>
        <w:ind w:left="720" w:hanging="720"/>
        <w:rPr>
          <w:highlight w:val="none"/>
          <w:shd w:val="clear" w:color="auto" w:fill="FFFFFF"/>
        </w:rPr>
      </w:pPr>
      <w:r>
        <w:rPr>
          <w:highlight w:val="none"/>
          <w:shd w:val="clear" w:color="auto" w:fill="FFFFFF"/>
        </w:rPr>
        <w:t>Ahmed, S., Hossain, M.M. and Haq, I., 2021. Implementation of lean construction in the construction industry in Bangladesh: awareness, benefits, and challenges. International Journal of Building Pathology and Adaptation, 39(2), pp.368-406.</w:t>
      </w:r>
    </w:p>
    <w:p w14:paraId="10CBD553">
      <w:pPr>
        <w:ind w:left="720" w:hanging="720"/>
        <w:rPr>
          <w:highlight w:val="none"/>
          <w:shd w:val="clear" w:color="auto" w:fill="FFFFFF"/>
        </w:rPr>
      </w:pPr>
      <w:r>
        <w:rPr>
          <w:highlight w:val="none"/>
          <w:shd w:val="clear" w:color="auto" w:fill="FFFFFF"/>
        </w:rPr>
        <w:t>Al-Yami, A. and Sanni-Anibire, M.O., 2021. BIM in the Saudi Arabian construction industry: State of the art, benefit and barriers. International Journal of Building Pathology and Adaptation, 39(1), pp.33-47.</w:t>
      </w:r>
    </w:p>
    <w:p w14:paraId="03011CAD">
      <w:pPr>
        <w:ind w:left="720" w:hanging="720"/>
        <w:rPr>
          <w:highlight w:val="none"/>
          <w:shd w:val="clear" w:color="auto" w:fill="FFFFFF"/>
        </w:rPr>
      </w:pPr>
      <w:r>
        <w:rPr>
          <w:highlight w:val="none"/>
          <w:shd w:val="clear" w:color="auto" w:fill="FFFFFF"/>
        </w:rPr>
        <w:t>Bajjou, M.S. and Chafi, A., 2018. Lean construction implementation in the Moroccan construction industry: Awareness, benefits, and barriers. Journal of Engineering, Design, and Technology, 16(4), pp.533-556.</w:t>
      </w:r>
    </w:p>
    <w:p w14:paraId="64F31D63">
      <w:pPr>
        <w:ind w:left="720" w:hanging="720"/>
        <w:rPr>
          <w:highlight w:val="none"/>
          <w:shd w:val="clear" w:color="auto" w:fill="FFFFFF"/>
        </w:rPr>
      </w:pPr>
      <w:r>
        <w:rPr>
          <w:highlight w:val="none"/>
          <w:shd w:val="clear" w:color="auto" w:fill="FFFFFF"/>
        </w:rPr>
        <w:t>Blaise, N.I., 2019. Construction and demolition waste management in Saudi Arabia: Current practice and roadmap for sustainable management. Journal of cleaner production, 221, pp.167-175.</w:t>
      </w:r>
    </w:p>
    <w:p w14:paraId="14EEA776">
      <w:pPr>
        <w:ind w:left="720" w:hanging="720"/>
        <w:rPr>
          <w:highlight w:val="none"/>
          <w:shd w:val="clear" w:color="auto" w:fill="FFFFFF"/>
        </w:rPr>
      </w:pPr>
      <w:r>
        <w:rPr>
          <w:highlight w:val="none"/>
          <w:shd w:val="clear" w:color="auto" w:fill="FFFFFF"/>
        </w:rPr>
        <w:t>Elshafey, A., Saar, C.C., Aminudin, E.B., Gheisari, M. and Usmani, A., 2020. Technology acceptance model for Augmented Reality and Building Information Modeling integration in the construction industry. Journal of information technology in construction, 25.</w:t>
      </w:r>
    </w:p>
    <w:p w14:paraId="3EFE498F">
      <w:pPr>
        <w:ind w:left="720" w:hanging="720"/>
        <w:rPr>
          <w:highlight w:val="none"/>
          <w:shd w:val="clear" w:color="auto" w:fill="FFFFFF"/>
        </w:rPr>
      </w:pPr>
      <w:r>
        <w:rPr>
          <w:highlight w:val="none"/>
          <w:shd w:val="clear" w:color="auto" w:fill="FFFFFF"/>
        </w:rPr>
        <w:t>Hadidi, L., Assaf, S., Aluwfi, K. and Akrawi, H., 2017. The effect of ISO 9001 implementation on customer satisfaction of the engineering design services. International Journal of Building Pathology and Adaptation, 35(2), pp.176-190.</w:t>
      </w:r>
    </w:p>
    <w:p w14:paraId="120F0882">
      <w:pPr>
        <w:ind w:left="720" w:hanging="720"/>
        <w:rPr>
          <w:highlight w:val="none"/>
          <w:shd w:val="clear" w:color="auto" w:fill="FFFFFF"/>
        </w:rPr>
      </w:pPr>
      <w:r>
        <w:rPr>
          <w:highlight w:val="none"/>
          <w:shd w:val="clear" w:color="auto" w:fill="FFFFFF"/>
        </w:rPr>
        <w:t>Sarhan, J., Xia, B., Fawzia, S., Karim, A. and Olanipekun, A., 2018. Barriers to implementing lean construction practices in the Kingdom of Saudi Arabia (KSA) construction industry. Construction Innovation, 18(2), pp.246-272.</w:t>
      </w:r>
    </w:p>
    <w:p w14:paraId="17623C4F">
      <w:pPr>
        <w:ind w:left="720" w:hanging="720"/>
        <w:rPr>
          <w:highlight w:val="none"/>
          <w:shd w:val="clear" w:color="auto" w:fill="FFFFFF"/>
        </w:rPr>
      </w:pPr>
      <w:r>
        <w:rPr>
          <w:highlight w:val="none"/>
          <w:shd w:val="clear" w:color="auto" w:fill="FFFFFF"/>
        </w:rPr>
        <w:t>Sarhan, J.G., Xia, B., Fawzia, S. and Karim, A., 2017. Lean construction implementation in the Saudi Arabian construction industry. Construction Economics and Building, 17(1), pp.46-69.</w:t>
      </w:r>
    </w:p>
    <w:p w14:paraId="26DB59A6">
      <w:pPr>
        <w:ind w:left="720" w:hanging="720"/>
        <w:rPr>
          <w:highlight w:val="none"/>
          <w:shd w:val="clear" w:color="auto" w:fill="FFFFFF"/>
        </w:rPr>
      </w:pPr>
      <w:r>
        <w:rPr>
          <w:highlight w:val="none"/>
          <w:shd w:val="clear" w:color="auto" w:fill="FFFFFF"/>
        </w:rPr>
        <w:t>Shaqour, E.N., 2022. The impact of adopting lean construction in Egypt: Level of knowledge, application, and benefits. Ain Shams Engineering Journal, 13(2), p.101551.</w:t>
      </w:r>
    </w:p>
    <w:p w14:paraId="145DE44B">
      <w:pPr>
        <w:ind w:left="720" w:hanging="720"/>
        <w:rPr>
          <w:highlight w:val="none"/>
          <w:shd w:val="clear" w:color="auto" w:fill="FFFFFF"/>
        </w:rPr>
      </w:pPr>
      <w:r>
        <w:rPr>
          <w:highlight w:val="none"/>
          <w:shd w:val="clear" w:color="auto" w:fill="FFFFFF"/>
        </w:rPr>
        <w:t>Uhm, M., Lee, G. and Jeon, B., 2017. An analysis of BIM jobs and competencies based on the use of terms in the industry. Automation in Construction, 81, pp.67-98.</w:t>
      </w:r>
    </w:p>
    <w:p w14:paraId="406EE9ED">
      <w:pPr>
        <w:ind w:left="720" w:hanging="720"/>
        <w:rPr>
          <w:highlight w:val="none"/>
          <w:shd w:val="clear" w:color="auto" w:fill="FFFFFF"/>
        </w:rPr>
      </w:pPr>
    </w:p>
    <w:p w14:paraId="6426A86B">
      <w:pPr>
        <w:spacing w:line="259" w:lineRule="auto"/>
        <w:jc w:val="left"/>
        <w:rPr>
          <w:highlight w:val="none"/>
          <w:shd w:val="clear" w:color="auto" w:fill="FFFFFF"/>
        </w:rPr>
      </w:pPr>
      <w:r>
        <w:rPr>
          <w:highlight w:val="none"/>
          <w:shd w:val="clear" w:color="auto" w:fill="FFFFFF"/>
        </w:rPr>
        <w:br w:type="page"/>
      </w:r>
    </w:p>
    <w:p w14:paraId="6B9864A5">
      <w:pPr>
        <w:ind w:left="720" w:hanging="720"/>
        <w:rPr>
          <w:highlight w:val="none"/>
          <w:shd w:val="clear" w:color="auto" w:fill="FFFFFF"/>
        </w:rPr>
      </w:pPr>
      <w:r>
        <w:rPr>
          <w:highlight w:val="none"/>
          <w:shd w:val="clear" w:color="auto" w:fill="FFFFFF"/>
        </w:rPr>
        <w:t>Appendix 2</w:t>
      </w:r>
    </w:p>
    <w:p w14:paraId="11049B77">
      <w:pPr>
        <w:ind w:left="720" w:hanging="720"/>
        <w:rPr>
          <w:highlight w:val="none"/>
          <w:shd w:val="clear" w:color="auto" w:fill="FFFFFF"/>
        </w:rPr>
      </w:pPr>
      <w:r>
        <w:rPr>
          <w:highlight w:val="none"/>
          <w:shd w:val="clear" w:color="auto" w:fill="FFFFFF"/>
        </w:rPr>
        <w:t xml:space="preserve">Pearson Correlation </w:t>
      </w:r>
    </w:p>
    <w:p w14:paraId="68B65093">
      <w:pPr>
        <w:autoSpaceDE w:val="0"/>
        <w:autoSpaceDN w:val="0"/>
        <w:adjustRightInd w:val="0"/>
        <w:spacing w:after="0" w:line="240" w:lineRule="auto"/>
        <w:jc w:val="center"/>
        <w:rPr>
          <w:rFonts w:cs="Times New Roman"/>
          <w:szCs w:val="24"/>
          <w:highlight w:val="none"/>
          <w:lang w:val="en-US"/>
        </w:rPr>
      </w:pPr>
    </w:p>
    <w:tbl>
      <w:tblPr>
        <w:tblStyle w:val="12"/>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445"/>
        <w:gridCol w:w="853"/>
        <w:gridCol w:w="579"/>
        <w:gridCol w:w="486"/>
        <w:gridCol w:w="569"/>
        <w:gridCol w:w="486"/>
        <w:gridCol w:w="486"/>
        <w:gridCol w:w="486"/>
        <w:gridCol w:w="569"/>
        <w:gridCol w:w="486"/>
        <w:gridCol w:w="569"/>
        <w:gridCol w:w="569"/>
        <w:gridCol w:w="487"/>
        <w:gridCol w:w="570"/>
        <w:gridCol w:w="570"/>
        <w:gridCol w:w="570"/>
        <w:gridCol w:w="580"/>
      </w:tblGrid>
      <w:tr w14:paraId="3CDE64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5000" w:type="pct"/>
            <w:gridSpan w:val="17"/>
            <w:tcBorders>
              <w:top w:val="nil"/>
              <w:left w:val="nil"/>
              <w:bottom w:val="nil"/>
              <w:right w:val="nil"/>
            </w:tcBorders>
            <w:shd w:val="clear" w:color="auto" w:fill="FFFFFF"/>
          </w:tcPr>
          <w:p w14:paraId="53E217A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b/>
                <w:bCs/>
                <w:color w:val="000000"/>
                <w:sz w:val="18"/>
                <w:szCs w:val="18"/>
                <w:highlight w:val="none"/>
                <w:lang w:val="en-US"/>
              </w:rPr>
              <w:t>Correlations</w:t>
            </w:r>
          </w:p>
        </w:tc>
      </w:tr>
      <w:tr w14:paraId="622587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59" w:type="pct"/>
            <w:gridSpan w:val="2"/>
            <w:tcBorders>
              <w:top w:val="single" w:color="000000" w:sz="16" w:space="0"/>
              <w:left w:val="single" w:color="000000" w:sz="16" w:space="0"/>
              <w:bottom w:val="single" w:color="000000" w:sz="16" w:space="0"/>
              <w:right w:val="nil"/>
            </w:tcBorders>
            <w:shd w:val="clear" w:color="auto" w:fill="FFFFFF"/>
          </w:tcPr>
          <w:p w14:paraId="74A86FBB">
            <w:pPr>
              <w:autoSpaceDE w:val="0"/>
              <w:autoSpaceDN w:val="0"/>
              <w:adjustRightInd w:val="0"/>
              <w:spacing w:after="0" w:line="240" w:lineRule="auto"/>
              <w:jc w:val="center"/>
              <w:rPr>
                <w:rFonts w:cs="Times New Roman"/>
                <w:szCs w:val="24"/>
                <w:highlight w:val="none"/>
                <w:lang w:val="en-US"/>
              </w:rPr>
            </w:pPr>
          </w:p>
        </w:tc>
        <w:tc>
          <w:tcPr>
            <w:tcW w:w="283" w:type="pct"/>
            <w:tcBorders>
              <w:top w:val="single" w:color="000000" w:sz="16" w:space="0"/>
              <w:left w:val="single" w:color="000000" w:sz="16" w:space="0"/>
              <w:bottom w:val="single" w:color="000000" w:sz="16" w:space="0"/>
            </w:tcBorders>
            <w:shd w:val="clear" w:color="auto" w:fill="FFFFFF"/>
          </w:tcPr>
          <w:p w14:paraId="3C01C1A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Q1.</w:t>
            </w:r>
          </w:p>
        </w:tc>
        <w:tc>
          <w:tcPr>
            <w:tcW w:w="283" w:type="pct"/>
            <w:tcBorders>
              <w:top w:val="single" w:color="000000" w:sz="16" w:space="0"/>
              <w:bottom w:val="single" w:color="000000" w:sz="16" w:space="0"/>
            </w:tcBorders>
            <w:shd w:val="clear" w:color="auto" w:fill="FFFFFF"/>
          </w:tcPr>
          <w:p w14:paraId="217F674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Q2.</w:t>
            </w:r>
          </w:p>
        </w:tc>
        <w:tc>
          <w:tcPr>
            <w:tcW w:w="283" w:type="pct"/>
            <w:tcBorders>
              <w:top w:val="single" w:color="000000" w:sz="16" w:space="0"/>
              <w:bottom w:val="single" w:color="000000" w:sz="16" w:space="0"/>
            </w:tcBorders>
            <w:shd w:val="clear" w:color="auto" w:fill="FFFFFF"/>
          </w:tcPr>
          <w:p w14:paraId="74FFC17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Q3.</w:t>
            </w:r>
          </w:p>
        </w:tc>
        <w:tc>
          <w:tcPr>
            <w:tcW w:w="283" w:type="pct"/>
            <w:tcBorders>
              <w:top w:val="single" w:color="000000" w:sz="16" w:space="0"/>
              <w:bottom w:val="single" w:color="000000" w:sz="16" w:space="0"/>
            </w:tcBorders>
            <w:shd w:val="clear" w:color="auto" w:fill="FFFFFF"/>
          </w:tcPr>
          <w:p w14:paraId="36FAF24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Q4.</w:t>
            </w:r>
          </w:p>
        </w:tc>
        <w:tc>
          <w:tcPr>
            <w:tcW w:w="283" w:type="pct"/>
            <w:tcBorders>
              <w:top w:val="single" w:color="000000" w:sz="16" w:space="0"/>
              <w:bottom w:val="single" w:color="000000" w:sz="16" w:space="0"/>
            </w:tcBorders>
            <w:shd w:val="clear" w:color="auto" w:fill="FFFFFF"/>
          </w:tcPr>
          <w:p w14:paraId="6D7719A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Q5.</w:t>
            </w:r>
          </w:p>
        </w:tc>
        <w:tc>
          <w:tcPr>
            <w:tcW w:w="283" w:type="pct"/>
            <w:tcBorders>
              <w:top w:val="single" w:color="000000" w:sz="16" w:space="0"/>
              <w:bottom w:val="single" w:color="000000" w:sz="16" w:space="0"/>
            </w:tcBorders>
            <w:shd w:val="clear" w:color="auto" w:fill="FFFFFF"/>
          </w:tcPr>
          <w:p w14:paraId="401FBC9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Q6.</w:t>
            </w:r>
          </w:p>
        </w:tc>
        <w:tc>
          <w:tcPr>
            <w:tcW w:w="283" w:type="pct"/>
            <w:tcBorders>
              <w:top w:val="single" w:color="000000" w:sz="16" w:space="0"/>
              <w:bottom w:val="single" w:color="000000" w:sz="16" w:space="0"/>
            </w:tcBorders>
            <w:shd w:val="clear" w:color="auto" w:fill="FFFFFF"/>
          </w:tcPr>
          <w:p w14:paraId="24F8988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Q7.</w:t>
            </w:r>
          </w:p>
        </w:tc>
        <w:tc>
          <w:tcPr>
            <w:tcW w:w="283" w:type="pct"/>
            <w:tcBorders>
              <w:top w:val="single" w:color="000000" w:sz="16" w:space="0"/>
              <w:bottom w:val="single" w:color="000000" w:sz="16" w:space="0"/>
            </w:tcBorders>
            <w:shd w:val="clear" w:color="auto" w:fill="FFFFFF"/>
          </w:tcPr>
          <w:p w14:paraId="7B8DF1E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Q8.</w:t>
            </w:r>
          </w:p>
        </w:tc>
        <w:tc>
          <w:tcPr>
            <w:tcW w:w="283" w:type="pct"/>
            <w:tcBorders>
              <w:top w:val="single" w:color="000000" w:sz="16" w:space="0"/>
              <w:bottom w:val="single" w:color="000000" w:sz="16" w:space="0"/>
            </w:tcBorders>
            <w:shd w:val="clear" w:color="auto" w:fill="FFFFFF"/>
          </w:tcPr>
          <w:p w14:paraId="1A91F0C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Q9.</w:t>
            </w:r>
          </w:p>
        </w:tc>
        <w:tc>
          <w:tcPr>
            <w:tcW w:w="283" w:type="pct"/>
            <w:tcBorders>
              <w:top w:val="single" w:color="000000" w:sz="16" w:space="0"/>
              <w:bottom w:val="single" w:color="000000" w:sz="16" w:space="0"/>
            </w:tcBorders>
            <w:shd w:val="clear" w:color="auto" w:fill="FFFFFF"/>
          </w:tcPr>
          <w:p w14:paraId="635D83F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 10.</w:t>
            </w:r>
          </w:p>
        </w:tc>
        <w:tc>
          <w:tcPr>
            <w:tcW w:w="283" w:type="pct"/>
            <w:tcBorders>
              <w:top w:val="single" w:color="000000" w:sz="16" w:space="0"/>
              <w:bottom w:val="single" w:color="000000" w:sz="16" w:space="0"/>
            </w:tcBorders>
            <w:shd w:val="clear" w:color="auto" w:fill="FFFFFF"/>
          </w:tcPr>
          <w:p w14:paraId="6E7ECE5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Q11.</w:t>
            </w:r>
          </w:p>
        </w:tc>
        <w:tc>
          <w:tcPr>
            <w:tcW w:w="283" w:type="pct"/>
            <w:tcBorders>
              <w:top w:val="single" w:color="000000" w:sz="16" w:space="0"/>
              <w:bottom w:val="single" w:color="000000" w:sz="16" w:space="0"/>
            </w:tcBorders>
            <w:shd w:val="clear" w:color="auto" w:fill="FFFFFF"/>
          </w:tcPr>
          <w:p w14:paraId="0C575C1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Q12.</w:t>
            </w:r>
          </w:p>
        </w:tc>
        <w:tc>
          <w:tcPr>
            <w:tcW w:w="283" w:type="pct"/>
            <w:tcBorders>
              <w:top w:val="single" w:color="000000" w:sz="16" w:space="0"/>
              <w:bottom w:val="single" w:color="000000" w:sz="16" w:space="0"/>
            </w:tcBorders>
            <w:shd w:val="clear" w:color="auto" w:fill="FFFFFF"/>
          </w:tcPr>
          <w:p w14:paraId="6CD8920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Q13.</w:t>
            </w:r>
          </w:p>
        </w:tc>
        <w:tc>
          <w:tcPr>
            <w:tcW w:w="283" w:type="pct"/>
            <w:tcBorders>
              <w:top w:val="single" w:color="000000" w:sz="16" w:space="0"/>
              <w:bottom w:val="single" w:color="000000" w:sz="16" w:space="0"/>
            </w:tcBorders>
            <w:shd w:val="clear" w:color="auto" w:fill="FFFFFF"/>
          </w:tcPr>
          <w:p w14:paraId="1825FD2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Q14.</w:t>
            </w:r>
          </w:p>
        </w:tc>
        <w:tc>
          <w:tcPr>
            <w:tcW w:w="283" w:type="pct"/>
            <w:tcBorders>
              <w:top w:val="single" w:color="000000" w:sz="16" w:space="0"/>
              <w:bottom w:val="single" w:color="000000" w:sz="16" w:space="0"/>
              <w:right w:val="single" w:color="000000" w:sz="16" w:space="0"/>
            </w:tcBorders>
            <w:shd w:val="clear" w:color="auto" w:fill="FFFFFF"/>
          </w:tcPr>
          <w:p w14:paraId="01CC6C1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Q15.</w:t>
            </w:r>
          </w:p>
        </w:tc>
      </w:tr>
      <w:tr w14:paraId="386CAE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06" w:type="pct"/>
            <w:vMerge w:val="restart"/>
            <w:tcBorders>
              <w:top w:val="single" w:color="000000" w:sz="16" w:space="0"/>
              <w:left w:val="single" w:color="000000" w:sz="16" w:space="0"/>
              <w:bottom w:val="nil"/>
              <w:right w:val="nil"/>
            </w:tcBorders>
            <w:shd w:val="clear" w:color="auto" w:fill="FFFFFF"/>
            <w:vAlign w:val="center"/>
          </w:tcPr>
          <w:p w14:paraId="4064839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Q1.</w:t>
            </w:r>
          </w:p>
        </w:tc>
        <w:tc>
          <w:tcPr>
            <w:tcW w:w="553" w:type="pct"/>
            <w:tcBorders>
              <w:top w:val="single" w:color="000000" w:sz="16" w:space="0"/>
              <w:left w:val="nil"/>
              <w:bottom w:val="nil"/>
              <w:right w:val="single" w:color="000000" w:sz="16" w:space="0"/>
            </w:tcBorders>
            <w:shd w:val="clear" w:color="auto" w:fill="FFFFFF"/>
            <w:vAlign w:val="center"/>
          </w:tcPr>
          <w:p w14:paraId="7571241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Pearson Correlation</w:t>
            </w:r>
          </w:p>
        </w:tc>
        <w:tc>
          <w:tcPr>
            <w:tcW w:w="283" w:type="pct"/>
            <w:tcBorders>
              <w:top w:val="single" w:color="000000" w:sz="16" w:space="0"/>
              <w:left w:val="single" w:color="000000" w:sz="16" w:space="0"/>
              <w:bottom w:val="nil"/>
            </w:tcBorders>
            <w:shd w:val="clear" w:color="auto" w:fill="FFFFFF"/>
          </w:tcPr>
          <w:p w14:paraId="653B2A5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w:t>
            </w:r>
          </w:p>
        </w:tc>
        <w:tc>
          <w:tcPr>
            <w:tcW w:w="283" w:type="pct"/>
            <w:tcBorders>
              <w:top w:val="single" w:color="000000" w:sz="16" w:space="0"/>
              <w:bottom w:val="nil"/>
            </w:tcBorders>
            <w:shd w:val="clear" w:color="auto" w:fill="FFFFFF"/>
          </w:tcPr>
          <w:p w14:paraId="2A79DBC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.987</w:t>
            </w:r>
            <w:r>
              <w:rPr>
                <w:rFonts w:ascii="Arial" w:hAnsi="Arial" w:cs="Arial"/>
                <w:color w:val="000000"/>
                <w:sz w:val="18"/>
                <w:szCs w:val="18"/>
                <w:highlight w:val="none"/>
                <w:vertAlign w:val="superscript"/>
                <w:lang w:val="en-US"/>
              </w:rPr>
              <w:t>**</w:t>
            </w:r>
          </w:p>
        </w:tc>
        <w:tc>
          <w:tcPr>
            <w:tcW w:w="283" w:type="pct"/>
            <w:tcBorders>
              <w:top w:val="single" w:color="000000" w:sz="16" w:space="0"/>
              <w:bottom w:val="nil"/>
            </w:tcBorders>
            <w:shd w:val="clear" w:color="auto" w:fill="FFFFFF"/>
          </w:tcPr>
          <w:p w14:paraId="42ADCF7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.963</w:t>
            </w:r>
            <w:r>
              <w:rPr>
                <w:rFonts w:ascii="Arial" w:hAnsi="Arial" w:cs="Arial"/>
                <w:color w:val="000000"/>
                <w:sz w:val="18"/>
                <w:szCs w:val="18"/>
                <w:highlight w:val="none"/>
                <w:vertAlign w:val="superscript"/>
                <w:lang w:val="en-US"/>
              </w:rPr>
              <w:t>**</w:t>
            </w:r>
          </w:p>
        </w:tc>
        <w:tc>
          <w:tcPr>
            <w:tcW w:w="283" w:type="pct"/>
            <w:tcBorders>
              <w:top w:val="single" w:color="000000" w:sz="16" w:space="0"/>
              <w:bottom w:val="nil"/>
            </w:tcBorders>
            <w:shd w:val="clear" w:color="auto" w:fill="FFFFFF"/>
          </w:tcPr>
          <w:p w14:paraId="604865F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.983</w:t>
            </w:r>
            <w:r>
              <w:rPr>
                <w:rFonts w:ascii="Arial" w:hAnsi="Arial" w:cs="Arial"/>
                <w:color w:val="000000"/>
                <w:sz w:val="18"/>
                <w:szCs w:val="18"/>
                <w:highlight w:val="none"/>
                <w:vertAlign w:val="superscript"/>
                <w:lang w:val="en-US"/>
              </w:rPr>
              <w:t>**</w:t>
            </w:r>
          </w:p>
        </w:tc>
        <w:tc>
          <w:tcPr>
            <w:tcW w:w="283" w:type="pct"/>
            <w:tcBorders>
              <w:top w:val="single" w:color="000000" w:sz="16" w:space="0"/>
              <w:bottom w:val="nil"/>
            </w:tcBorders>
            <w:shd w:val="clear" w:color="auto" w:fill="FFFFFF"/>
          </w:tcPr>
          <w:p w14:paraId="7D0DDDB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.960</w:t>
            </w:r>
            <w:r>
              <w:rPr>
                <w:rFonts w:ascii="Arial" w:hAnsi="Arial" w:cs="Arial"/>
                <w:color w:val="000000"/>
                <w:sz w:val="18"/>
                <w:szCs w:val="18"/>
                <w:highlight w:val="none"/>
                <w:vertAlign w:val="superscript"/>
                <w:lang w:val="en-US"/>
              </w:rPr>
              <w:t>**</w:t>
            </w:r>
          </w:p>
        </w:tc>
        <w:tc>
          <w:tcPr>
            <w:tcW w:w="283" w:type="pct"/>
            <w:tcBorders>
              <w:top w:val="single" w:color="000000" w:sz="16" w:space="0"/>
              <w:bottom w:val="nil"/>
            </w:tcBorders>
            <w:shd w:val="clear" w:color="auto" w:fill="FFFFFF"/>
          </w:tcPr>
          <w:p w14:paraId="6E08475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.980</w:t>
            </w:r>
            <w:r>
              <w:rPr>
                <w:rFonts w:ascii="Arial" w:hAnsi="Arial" w:cs="Arial"/>
                <w:color w:val="000000"/>
                <w:sz w:val="18"/>
                <w:szCs w:val="18"/>
                <w:highlight w:val="none"/>
                <w:vertAlign w:val="superscript"/>
                <w:lang w:val="en-US"/>
              </w:rPr>
              <w:t>**</w:t>
            </w:r>
          </w:p>
        </w:tc>
        <w:tc>
          <w:tcPr>
            <w:tcW w:w="283" w:type="pct"/>
            <w:tcBorders>
              <w:top w:val="single" w:color="000000" w:sz="16" w:space="0"/>
              <w:bottom w:val="nil"/>
            </w:tcBorders>
            <w:shd w:val="clear" w:color="auto" w:fill="FFFFFF"/>
          </w:tcPr>
          <w:p w14:paraId="3DE5441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.963</w:t>
            </w:r>
            <w:r>
              <w:rPr>
                <w:rFonts w:ascii="Arial" w:hAnsi="Arial" w:cs="Arial"/>
                <w:color w:val="000000"/>
                <w:sz w:val="18"/>
                <w:szCs w:val="18"/>
                <w:highlight w:val="none"/>
                <w:vertAlign w:val="superscript"/>
                <w:lang w:val="en-US"/>
              </w:rPr>
              <w:t>**</w:t>
            </w:r>
          </w:p>
        </w:tc>
        <w:tc>
          <w:tcPr>
            <w:tcW w:w="283" w:type="pct"/>
            <w:tcBorders>
              <w:top w:val="single" w:color="000000" w:sz="16" w:space="0"/>
              <w:bottom w:val="nil"/>
            </w:tcBorders>
            <w:shd w:val="clear" w:color="auto" w:fill="FFFFFF"/>
          </w:tcPr>
          <w:p w14:paraId="2CAA8BC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.974</w:t>
            </w:r>
            <w:r>
              <w:rPr>
                <w:rFonts w:ascii="Arial" w:hAnsi="Arial" w:cs="Arial"/>
                <w:color w:val="000000"/>
                <w:sz w:val="18"/>
                <w:szCs w:val="18"/>
                <w:highlight w:val="none"/>
                <w:vertAlign w:val="superscript"/>
                <w:lang w:val="en-US"/>
              </w:rPr>
              <w:t>**</w:t>
            </w:r>
          </w:p>
        </w:tc>
        <w:tc>
          <w:tcPr>
            <w:tcW w:w="283" w:type="pct"/>
            <w:tcBorders>
              <w:top w:val="single" w:color="000000" w:sz="16" w:space="0"/>
              <w:bottom w:val="nil"/>
            </w:tcBorders>
            <w:shd w:val="clear" w:color="auto" w:fill="FFFFFF"/>
          </w:tcPr>
          <w:p w14:paraId="3605B91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.963</w:t>
            </w:r>
            <w:r>
              <w:rPr>
                <w:rFonts w:ascii="Arial" w:hAnsi="Arial" w:cs="Arial"/>
                <w:color w:val="000000"/>
                <w:sz w:val="18"/>
                <w:szCs w:val="18"/>
                <w:highlight w:val="none"/>
                <w:vertAlign w:val="superscript"/>
                <w:lang w:val="en-US"/>
              </w:rPr>
              <w:t>**</w:t>
            </w:r>
          </w:p>
        </w:tc>
        <w:tc>
          <w:tcPr>
            <w:tcW w:w="283" w:type="pct"/>
            <w:tcBorders>
              <w:top w:val="single" w:color="000000" w:sz="16" w:space="0"/>
              <w:bottom w:val="nil"/>
            </w:tcBorders>
            <w:shd w:val="clear" w:color="auto" w:fill="FFFFFF"/>
          </w:tcPr>
          <w:p w14:paraId="352B15A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r>
              <w:rPr>
                <w:rFonts w:ascii="Arial" w:hAnsi="Arial" w:cs="Arial"/>
                <w:color w:val="000000"/>
                <w:sz w:val="18"/>
                <w:szCs w:val="18"/>
                <w:highlight w:val="none"/>
                <w:vertAlign w:val="superscript"/>
                <w:lang w:val="en-US"/>
              </w:rPr>
              <w:t>**</w:t>
            </w:r>
          </w:p>
        </w:tc>
        <w:tc>
          <w:tcPr>
            <w:tcW w:w="283" w:type="pct"/>
            <w:tcBorders>
              <w:top w:val="single" w:color="000000" w:sz="16" w:space="0"/>
              <w:bottom w:val="nil"/>
            </w:tcBorders>
            <w:shd w:val="clear" w:color="auto" w:fill="FFFFFF"/>
          </w:tcPr>
          <w:p w14:paraId="6AB5465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.993</w:t>
            </w:r>
            <w:r>
              <w:rPr>
                <w:rFonts w:ascii="Arial" w:hAnsi="Arial" w:cs="Arial"/>
                <w:color w:val="000000"/>
                <w:sz w:val="18"/>
                <w:szCs w:val="18"/>
                <w:highlight w:val="none"/>
                <w:vertAlign w:val="superscript"/>
                <w:lang w:val="en-US"/>
              </w:rPr>
              <w:t>**</w:t>
            </w:r>
          </w:p>
        </w:tc>
        <w:tc>
          <w:tcPr>
            <w:tcW w:w="283" w:type="pct"/>
            <w:tcBorders>
              <w:top w:val="single" w:color="000000" w:sz="16" w:space="0"/>
              <w:bottom w:val="nil"/>
            </w:tcBorders>
            <w:shd w:val="clear" w:color="auto" w:fill="FFFFFF"/>
          </w:tcPr>
          <w:p w14:paraId="36C2C6C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.999</w:t>
            </w:r>
            <w:r>
              <w:rPr>
                <w:rFonts w:ascii="Arial" w:hAnsi="Arial" w:cs="Arial"/>
                <w:color w:val="000000"/>
                <w:sz w:val="18"/>
                <w:szCs w:val="18"/>
                <w:highlight w:val="none"/>
                <w:vertAlign w:val="superscript"/>
                <w:lang w:val="en-US"/>
              </w:rPr>
              <w:t>**</w:t>
            </w:r>
          </w:p>
        </w:tc>
        <w:tc>
          <w:tcPr>
            <w:tcW w:w="283" w:type="pct"/>
            <w:tcBorders>
              <w:top w:val="single" w:color="000000" w:sz="16" w:space="0"/>
              <w:bottom w:val="nil"/>
            </w:tcBorders>
            <w:shd w:val="clear" w:color="auto" w:fill="FFFFFF"/>
          </w:tcPr>
          <w:p w14:paraId="04FC03C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.999</w:t>
            </w:r>
            <w:r>
              <w:rPr>
                <w:rFonts w:ascii="Arial" w:hAnsi="Arial" w:cs="Arial"/>
                <w:color w:val="000000"/>
                <w:sz w:val="18"/>
                <w:szCs w:val="18"/>
                <w:highlight w:val="none"/>
                <w:vertAlign w:val="superscript"/>
                <w:lang w:val="en-US"/>
              </w:rPr>
              <w:t>**</w:t>
            </w:r>
          </w:p>
        </w:tc>
        <w:tc>
          <w:tcPr>
            <w:tcW w:w="283" w:type="pct"/>
            <w:tcBorders>
              <w:top w:val="single" w:color="000000" w:sz="16" w:space="0"/>
              <w:bottom w:val="nil"/>
            </w:tcBorders>
            <w:shd w:val="clear" w:color="auto" w:fill="FFFFFF"/>
          </w:tcPr>
          <w:p w14:paraId="30E36BD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r>
              <w:rPr>
                <w:rFonts w:ascii="Arial" w:hAnsi="Arial" w:cs="Arial"/>
                <w:color w:val="000000"/>
                <w:sz w:val="18"/>
                <w:szCs w:val="18"/>
                <w:highlight w:val="none"/>
                <w:vertAlign w:val="superscript"/>
                <w:lang w:val="en-US"/>
              </w:rPr>
              <w:t>**</w:t>
            </w:r>
          </w:p>
        </w:tc>
        <w:tc>
          <w:tcPr>
            <w:tcW w:w="283" w:type="pct"/>
            <w:tcBorders>
              <w:top w:val="single" w:color="000000" w:sz="16" w:space="0"/>
              <w:bottom w:val="nil"/>
              <w:right w:val="single" w:color="000000" w:sz="16" w:space="0"/>
            </w:tcBorders>
            <w:shd w:val="clear" w:color="auto" w:fill="FFFFFF"/>
          </w:tcPr>
          <w:p w14:paraId="524EA28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r>
              <w:rPr>
                <w:rFonts w:ascii="Arial" w:hAnsi="Arial" w:cs="Arial"/>
                <w:color w:val="000000"/>
                <w:sz w:val="18"/>
                <w:szCs w:val="18"/>
                <w:highlight w:val="none"/>
                <w:vertAlign w:val="superscript"/>
                <w:lang w:val="en-US"/>
              </w:rPr>
              <w:t>**</w:t>
            </w:r>
          </w:p>
        </w:tc>
      </w:tr>
      <w:tr w14:paraId="6022F5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06" w:type="pct"/>
            <w:vMerge w:val="continue"/>
            <w:tcBorders>
              <w:top w:val="single" w:color="000000" w:sz="16" w:space="0"/>
              <w:left w:val="single" w:color="000000" w:sz="16" w:space="0"/>
              <w:bottom w:val="nil"/>
              <w:right w:val="nil"/>
            </w:tcBorders>
            <w:shd w:val="clear" w:color="auto" w:fill="FFFFFF"/>
            <w:vAlign w:val="center"/>
          </w:tcPr>
          <w:p w14:paraId="27FEB9FD">
            <w:pPr>
              <w:autoSpaceDE w:val="0"/>
              <w:autoSpaceDN w:val="0"/>
              <w:adjustRightInd w:val="0"/>
              <w:spacing w:after="0" w:line="240" w:lineRule="auto"/>
              <w:jc w:val="center"/>
              <w:rPr>
                <w:rFonts w:ascii="Arial" w:hAnsi="Arial" w:cs="Arial"/>
                <w:color w:val="000000"/>
                <w:sz w:val="18"/>
                <w:szCs w:val="18"/>
                <w:highlight w:val="none"/>
                <w:lang w:val="en-US"/>
              </w:rPr>
            </w:pPr>
          </w:p>
        </w:tc>
        <w:tc>
          <w:tcPr>
            <w:tcW w:w="553" w:type="pct"/>
            <w:tcBorders>
              <w:top w:val="nil"/>
              <w:left w:val="nil"/>
              <w:bottom w:val="nil"/>
              <w:right w:val="single" w:color="000000" w:sz="16" w:space="0"/>
            </w:tcBorders>
            <w:shd w:val="clear" w:color="auto" w:fill="FFFFFF"/>
            <w:vAlign w:val="center"/>
          </w:tcPr>
          <w:p w14:paraId="1126C6B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Sig. (2-tailed)</w:t>
            </w:r>
          </w:p>
        </w:tc>
        <w:tc>
          <w:tcPr>
            <w:tcW w:w="283" w:type="pct"/>
            <w:tcBorders>
              <w:top w:val="nil"/>
              <w:left w:val="single" w:color="000000" w:sz="16" w:space="0"/>
              <w:bottom w:val="nil"/>
            </w:tcBorders>
            <w:shd w:val="clear" w:color="auto" w:fill="FFFFFF"/>
          </w:tcPr>
          <w:p w14:paraId="67DC0665">
            <w:pPr>
              <w:autoSpaceDE w:val="0"/>
              <w:autoSpaceDN w:val="0"/>
              <w:adjustRightInd w:val="0"/>
              <w:spacing w:after="0" w:line="240" w:lineRule="auto"/>
              <w:jc w:val="center"/>
              <w:rPr>
                <w:rFonts w:cs="Times New Roman"/>
                <w:szCs w:val="24"/>
                <w:highlight w:val="none"/>
                <w:lang w:val="en-US"/>
              </w:rPr>
            </w:pPr>
          </w:p>
        </w:tc>
        <w:tc>
          <w:tcPr>
            <w:tcW w:w="283" w:type="pct"/>
            <w:tcBorders>
              <w:top w:val="nil"/>
              <w:bottom w:val="nil"/>
            </w:tcBorders>
            <w:shd w:val="clear" w:color="auto" w:fill="FFFFFF"/>
          </w:tcPr>
          <w:p w14:paraId="165BEF7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732CA6B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39CB0EC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0B4C8DE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507F811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4B05CE9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3F35D7B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367BA54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445D228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256AB48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45E9620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1D171A8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24D14F1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right w:val="single" w:color="000000" w:sz="16" w:space="0"/>
            </w:tcBorders>
            <w:shd w:val="clear" w:color="auto" w:fill="FFFFFF"/>
          </w:tcPr>
          <w:p w14:paraId="0549907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r>
      <w:tr w14:paraId="54C9BC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06" w:type="pct"/>
            <w:vMerge w:val="continue"/>
            <w:tcBorders>
              <w:top w:val="single" w:color="000000" w:sz="16" w:space="0"/>
              <w:left w:val="single" w:color="000000" w:sz="16" w:space="0"/>
              <w:bottom w:val="nil"/>
              <w:right w:val="nil"/>
            </w:tcBorders>
            <w:shd w:val="clear" w:color="auto" w:fill="FFFFFF"/>
            <w:vAlign w:val="center"/>
          </w:tcPr>
          <w:p w14:paraId="2D4D3F25">
            <w:pPr>
              <w:autoSpaceDE w:val="0"/>
              <w:autoSpaceDN w:val="0"/>
              <w:adjustRightInd w:val="0"/>
              <w:spacing w:after="0" w:line="240" w:lineRule="auto"/>
              <w:jc w:val="center"/>
              <w:rPr>
                <w:rFonts w:ascii="Arial" w:hAnsi="Arial" w:cs="Arial"/>
                <w:color w:val="000000"/>
                <w:sz w:val="18"/>
                <w:szCs w:val="18"/>
                <w:highlight w:val="none"/>
                <w:lang w:val="en-US"/>
              </w:rPr>
            </w:pPr>
          </w:p>
        </w:tc>
        <w:tc>
          <w:tcPr>
            <w:tcW w:w="553" w:type="pct"/>
            <w:tcBorders>
              <w:top w:val="nil"/>
              <w:left w:val="nil"/>
              <w:bottom w:val="nil"/>
              <w:right w:val="single" w:color="000000" w:sz="16" w:space="0"/>
            </w:tcBorders>
            <w:shd w:val="clear" w:color="auto" w:fill="FFFFFF"/>
            <w:vAlign w:val="center"/>
          </w:tcPr>
          <w:p w14:paraId="2450B54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N</w:t>
            </w:r>
          </w:p>
        </w:tc>
        <w:tc>
          <w:tcPr>
            <w:tcW w:w="283" w:type="pct"/>
            <w:tcBorders>
              <w:top w:val="nil"/>
              <w:left w:val="single" w:color="000000" w:sz="16" w:space="0"/>
              <w:bottom w:val="nil"/>
            </w:tcBorders>
            <w:shd w:val="clear" w:color="auto" w:fill="FFFFFF"/>
          </w:tcPr>
          <w:p w14:paraId="2442E25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49E409F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6FED76C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1E43763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2D7FFA5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687491B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132E29B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6EBCFBF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7BE35EF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762A494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74D6D7E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229E81C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6A82EEC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3E5BC48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right w:val="single" w:color="000000" w:sz="16" w:space="0"/>
            </w:tcBorders>
            <w:shd w:val="clear" w:color="auto" w:fill="FFFFFF"/>
          </w:tcPr>
          <w:p w14:paraId="5D18BE0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r>
      <w:tr w14:paraId="2E536B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06" w:type="pct"/>
            <w:vMerge w:val="restart"/>
            <w:tcBorders>
              <w:top w:val="nil"/>
              <w:left w:val="single" w:color="000000" w:sz="16" w:space="0"/>
              <w:bottom w:val="nil"/>
              <w:right w:val="nil"/>
            </w:tcBorders>
            <w:shd w:val="clear" w:color="auto" w:fill="FFFFFF"/>
            <w:vAlign w:val="center"/>
          </w:tcPr>
          <w:p w14:paraId="490FB9E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Q2.</w:t>
            </w:r>
          </w:p>
        </w:tc>
        <w:tc>
          <w:tcPr>
            <w:tcW w:w="553" w:type="pct"/>
            <w:tcBorders>
              <w:top w:val="nil"/>
              <w:left w:val="nil"/>
              <w:bottom w:val="nil"/>
              <w:right w:val="single" w:color="000000" w:sz="16" w:space="0"/>
            </w:tcBorders>
            <w:shd w:val="clear" w:color="auto" w:fill="FFFFFF"/>
            <w:vAlign w:val="center"/>
          </w:tcPr>
          <w:p w14:paraId="083F556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Pearson Correlation</w:t>
            </w:r>
          </w:p>
        </w:tc>
        <w:tc>
          <w:tcPr>
            <w:tcW w:w="283" w:type="pct"/>
            <w:tcBorders>
              <w:top w:val="nil"/>
              <w:left w:val="single" w:color="000000" w:sz="16" w:space="0"/>
              <w:bottom w:val="nil"/>
            </w:tcBorders>
            <w:shd w:val="clear" w:color="auto" w:fill="FFFFFF"/>
          </w:tcPr>
          <w:p w14:paraId="2511C85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.987</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02B6493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w:t>
            </w:r>
          </w:p>
        </w:tc>
        <w:tc>
          <w:tcPr>
            <w:tcW w:w="283" w:type="pct"/>
            <w:tcBorders>
              <w:top w:val="nil"/>
              <w:bottom w:val="nil"/>
            </w:tcBorders>
            <w:shd w:val="clear" w:color="auto" w:fill="FFFFFF"/>
          </w:tcPr>
          <w:p w14:paraId="386A285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.959</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10BD0C3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.970</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2DEC74A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.963</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3095D04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.978</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674D14B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.959</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246532B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.982</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6EB08E8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.959</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22CD520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.987</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5601E99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.999</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245D88C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.993</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557FDF8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.993</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20354FD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.987</w:t>
            </w:r>
            <w:r>
              <w:rPr>
                <w:rFonts w:ascii="Arial" w:hAnsi="Arial" w:cs="Arial"/>
                <w:color w:val="000000"/>
                <w:sz w:val="18"/>
                <w:szCs w:val="18"/>
                <w:highlight w:val="none"/>
                <w:vertAlign w:val="superscript"/>
                <w:lang w:val="en-US"/>
              </w:rPr>
              <w:t>**</w:t>
            </w:r>
          </w:p>
        </w:tc>
        <w:tc>
          <w:tcPr>
            <w:tcW w:w="283" w:type="pct"/>
            <w:tcBorders>
              <w:top w:val="nil"/>
              <w:bottom w:val="nil"/>
              <w:right w:val="single" w:color="000000" w:sz="16" w:space="0"/>
            </w:tcBorders>
            <w:shd w:val="clear" w:color="auto" w:fill="FFFFFF"/>
          </w:tcPr>
          <w:p w14:paraId="3A8666D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.987</w:t>
            </w:r>
            <w:r>
              <w:rPr>
                <w:rFonts w:ascii="Arial" w:hAnsi="Arial" w:cs="Arial"/>
                <w:color w:val="000000"/>
                <w:sz w:val="18"/>
                <w:szCs w:val="18"/>
                <w:highlight w:val="none"/>
                <w:vertAlign w:val="superscript"/>
                <w:lang w:val="en-US"/>
              </w:rPr>
              <w:t>**</w:t>
            </w:r>
          </w:p>
        </w:tc>
      </w:tr>
      <w:tr w14:paraId="58395C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06" w:type="pct"/>
            <w:vMerge w:val="continue"/>
            <w:tcBorders>
              <w:top w:val="nil"/>
              <w:left w:val="single" w:color="000000" w:sz="16" w:space="0"/>
              <w:bottom w:val="nil"/>
              <w:right w:val="nil"/>
            </w:tcBorders>
            <w:shd w:val="clear" w:color="auto" w:fill="FFFFFF"/>
            <w:vAlign w:val="center"/>
          </w:tcPr>
          <w:p w14:paraId="44888A06">
            <w:pPr>
              <w:autoSpaceDE w:val="0"/>
              <w:autoSpaceDN w:val="0"/>
              <w:adjustRightInd w:val="0"/>
              <w:spacing w:after="0" w:line="240" w:lineRule="auto"/>
              <w:jc w:val="center"/>
              <w:rPr>
                <w:rFonts w:ascii="Arial" w:hAnsi="Arial" w:cs="Arial"/>
                <w:color w:val="000000"/>
                <w:sz w:val="18"/>
                <w:szCs w:val="18"/>
                <w:highlight w:val="none"/>
                <w:lang w:val="en-US"/>
              </w:rPr>
            </w:pPr>
          </w:p>
        </w:tc>
        <w:tc>
          <w:tcPr>
            <w:tcW w:w="553" w:type="pct"/>
            <w:tcBorders>
              <w:top w:val="nil"/>
              <w:left w:val="nil"/>
              <w:bottom w:val="nil"/>
              <w:right w:val="single" w:color="000000" w:sz="16" w:space="0"/>
            </w:tcBorders>
            <w:shd w:val="clear" w:color="auto" w:fill="FFFFFF"/>
            <w:vAlign w:val="center"/>
          </w:tcPr>
          <w:p w14:paraId="5E26712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Sig. (2-tailed)</w:t>
            </w:r>
          </w:p>
        </w:tc>
        <w:tc>
          <w:tcPr>
            <w:tcW w:w="283" w:type="pct"/>
            <w:tcBorders>
              <w:top w:val="nil"/>
              <w:left w:val="single" w:color="000000" w:sz="16" w:space="0"/>
              <w:bottom w:val="nil"/>
            </w:tcBorders>
            <w:shd w:val="clear" w:color="auto" w:fill="FFFFFF"/>
          </w:tcPr>
          <w:p w14:paraId="005470A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7C0AC290">
            <w:pPr>
              <w:autoSpaceDE w:val="0"/>
              <w:autoSpaceDN w:val="0"/>
              <w:adjustRightInd w:val="0"/>
              <w:spacing w:after="0" w:line="240" w:lineRule="auto"/>
              <w:jc w:val="center"/>
              <w:rPr>
                <w:rFonts w:cs="Times New Roman"/>
                <w:szCs w:val="24"/>
                <w:highlight w:val="none"/>
                <w:lang w:val="en-US"/>
              </w:rPr>
            </w:pPr>
          </w:p>
        </w:tc>
        <w:tc>
          <w:tcPr>
            <w:tcW w:w="283" w:type="pct"/>
            <w:tcBorders>
              <w:top w:val="nil"/>
              <w:bottom w:val="nil"/>
            </w:tcBorders>
            <w:shd w:val="clear" w:color="auto" w:fill="FFFFFF"/>
          </w:tcPr>
          <w:p w14:paraId="5565071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14A8DB9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5EC61EC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114B7CA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278AA17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055596B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4688198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77F054D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584D95D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5A1EC3C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1D41DF5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2E56023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right w:val="single" w:color="000000" w:sz="16" w:space="0"/>
            </w:tcBorders>
            <w:shd w:val="clear" w:color="auto" w:fill="FFFFFF"/>
          </w:tcPr>
          <w:p w14:paraId="0960677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r>
      <w:tr w14:paraId="21F19A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06" w:type="pct"/>
            <w:vMerge w:val="continue"/>
            <w:tcBorders>
              <w:top w:val="nil"/>
              <w:left w:val="single" w:color="000000" w:sz="16" w:space="0"/>
              <w:bottom w:val="nil"/>
              <w:right w:val="nil"/>
            </w:tcBorders>
            <w:shd w:val="clear" w:color="auto" w:fill="FFFFFF"/>
            <w:vAlign w:val="center"/>
          </w:tcPr>
          <w:p w14:paraId="48706B85">
            <w:pPr>
              <w:autoSpaceDE w:val="0"/>
              <w:autoSpaceDN w:val="0"/>
              <w:adjustRightInd w:val="0"/>
              <w:spacing w:after="0" w:line="240" w:lineRule="auto"/>
              <w:jc w:val="center"/>
              <w:rPr>
                <w:rFonts w:ascii="Arial" w:hAnsi="Arial" w:cs="Arial"/>
                <w:color w:val="000000"/>
                <w:sz w:val="18"/>
                <w:szCs w:val="18"/>
                <w:highlight w:val="none"/>
                <w:lang w:val="en-US"/>
              </w:rPr>
            </w:pPr>
          </w:p>
        </w:tc>
        <w:tc>
          <w:tcPr>
            <w:tcW w:w="553" w:type="pct"/>
            <w:tcBorders>
              <w:top w:val="nil"/>
              <w:left w:val="nil"/>
              <w:bottom w:val="nil"/>
              <w:right w:val="single" w:color="000000" w:sz="16" w:space="0"/>
            </w:tcBorders>
            <w:shd w:val="clear" w:color="auto" w:fill="FFFFFF"/>
            <w:vAlign w:val="center"/>
          </w:tcPr>
          <w:p w14:paraId="6E886B2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N</w:t>
            </w:r>
          </w:p>
        </w:tc>
        <w:tc>
          <w:tcPr>
            <w:tcW w:w="283" w:type="pct"/>
            <w:tcBorders>
              <w:top w:val="nil"/>
              <w:left w:val="single" w:color="000000" w:sz="16" w:space="0"/>
              <w:bottom w:val="nil"/>
            </w:tcBorders>
            <w:shd w:val="clear" w:color="auto" w:fill="FFFFFF"/>
          </w:tcPr>
          <w:p w14:paraId="69C03D0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66502C6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212C08E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7C037E9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330297C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7F89812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2B758AE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155E888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49C9A37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57A734D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72875BB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6A2037C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62F4C84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16509E0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right w:val="single" w:color="000000" w:sz="16" w:space="0"/>
            </w:tcBorders>
            <w:shd w:val="clear" w:color="auto" w:fill="FFFFFF"/>
          </w:tcPr>
          <w:p w14:paraId="6176C35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r>
      <w:tr w14:paraId="35F2C1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06" w:type="pct"/>
            <w:vMerge w:val="restart"/>
            <w:tcBorders>
              <w:top w:val="nil"/>
              <w:left w:val="single" w:color="000000" w:sz="16" w:space="0"/>
              <w:bottom w:val="nil"/>
              <w:right w:val="nil"/>
            </w:tcBorders>
            <w:shd w:val="clear" w:color="auto" w:fill="FFFFFF"/>
            <w:vAlign w:val="center"/>
          </w:tcPr>
          <w:p w14:paraId="76E7BEE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Q3.</w:t>
            </w:r>
          </w:p>
        </w:tc>
        <w:tc>
          <w:tcPr>
            <w:tcW w:w="553" w:type="pct"/>
            <w:tcBorders>
              <w:top w:val="nil"/>
              <w:left w:val="nil"/>
              <w:bottom w:val="nil"/>
              <w:right w:val="single" w:color="000000" w:sz="16" w:space="0"/>
            </w:tcBorders>
            <w:shd w:val="clear" w:color="auto" w:fill="FFFFFF"/>
            <w:vAlign w:val="center"/>
          </w:tcPr>
          <w:p w14:paraId="0649104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Pearson Correlation</w:t>
            </w:r>
          </w:p>
        </w:tc>
        <w:tc>
          <w:tcPr>
            <w:tcW w:w="283" w:type="pct"/>
            <w:tcBorders>
              <w:top w:val="nil"/>
              <w:left w:val="single" w:color="000000" w:sz="16" w:space="0"/>
              <w:bottom w:val="nil"/>
            </w:tcBorders>
            <w:shd w:val="clear" w:color="auto" w:fill="FFFFFF"/>
          </w:tcPr>
          <w:p w14:paraId="01DBCCC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.963</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2B523A8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.959</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77257FF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w:t>
            </w:r>
          </w:p>
        </w:tc>
        <w:tc>
          <w:tcPr>
            <w:tcW w:w="283" w:type="pct"/>
            <w:tcBorders>
              <w:top w:val="nil"/>
              <w:bottom w:val="nil"/>
            </w:tcBorders>
            <w:shd w:val="clear" w:color="auto" w:fill="FFFFFF"/>
          </w:tcPr>
          <w:p w14:paraId="59E4138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.897</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13551FD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.999</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0041E1F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.898</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07EA9B1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677A329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.895</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4F4D335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33A38F7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.963</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239A2C7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.962</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5D5BA8D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.964</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3B5AD57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.964</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7382103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.963</w:t>
            </w:r>
            <w:r>
              <w:rPr>
                <w:rFonts w:ascii="Arial" w:hAnsi="Arial" w:cs="Arial"/>
                <w:color w:val="000000"/>
                <w:sz w:val="18"/>
                <w:szCs w:val="18"/>
                <w:highlight w:val="none"/>
                <w:vertAlign w:val="superscript"/>
                <w:lang w:val="en-US"/>
              </w:rPr>
              <w:t>**</w:t>
            </w:r>
          </w:p>
        </w:tc>
        <w:tc>
          <w:tcPr>
            <w:tcW w:w="283" w:type="pct"/>
            <w:tcBorders>
              <w:top w:val="nil"/>
              <w:bottom w:val="nil"/>
              <w:right w:val="single" w:color="000000" w:sz="16" w:space="0"/>
            </w:tcBorders>
            <w:shd w:val="clear" w:color="auto" w:fill="FFFFFF"/>
          </w:tcPr>
          <w:p w14:paraId="797A1E7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.963</w:t>
            </w:r>
            <w:r>
              <w:rPr>
                <w:rFonts w:ascii="Arial" w:hAnsi="Arial" w:cs="Arial"/>
                <w:color w:val="000000"/>
                <w:sz w:val="18"/>
                <w:szCs w:val="18"/>
                <w:highlight w:val="none"/>
                <w:vertAlign w:val="superscript"/>
                <w:lang w:val="en-US"/>
              </w:rPr>
              <w:t>**</w:t>
            </w:r>
          </w:p>
        </w:tc>
      </w:tr>
      <w:tr w14:paraId="231490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06" w:type="pct"/>
            <w:vMerge w:val="continue"/>
            <w:tcBorders>
              <w:top w:val="nil"/>
              <w:left w:val="single" w:color="000000" w:sz="16" w:space="0"/>
              <w:bottom w:val="nil"/>
              <w:right w:val="nil"/>
            </w:tcBorders>
            <w:shd w:val="clear" w:color="auto" w:fill="FFFFFF"/>
            <w:vAlign w:val="center"/>
          </w:tcPr>
          <w:p w14:paraId="35F39583">
            <w:pPr>
              <w:autoSpaceDE w:val="0"/>
              <w:autoSpaceDN w:val="0"/>
              <w:adjustRightInd w:val="0"/>
              <w:spacing w:after="0" w:line="240" w:lineRule="auto"/>
              <w:jc w:val="center"/>
              <w:rPr>
                <w:rFonts w:ascii="Arial" w:hAnsi="Arial" w:cs="Arial"/>
                <w:color w:val="000000"/>
                <w:sz w:val="18"/>
                <w:szCs w:val="18"/>
                <w:highlight w:val="none"/>
                <w:lang w:val="en-US"/>
              </w:rPr>
            </w:pPr>
          </w:p>
        </w:tc>
        <w:tc>
          <w:tcPr>
            <w:tcW w:w="553" w:type="pct"/>
            <w:tcBorders>
              <w:top w:val="nil"/>
              <w:left w:val="nil"/>
              <w:bottom w:val="nil"/>
              <w:right w:val="single" w:color="000000" w:sz="16" w:space="0"/>
            </w:tcBorders>
            <w:shd w:val="clear" w:color="auto" w:fill="FFFFFF"/>
            <w:vAlign w:val="center"/>
          </w:tcPr>
          <w:p w14:paraId="20B9045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Sig. (2-tailed)</w:t>
            </w:r>
          </w:p>
        </w:tc>
        <w:tc>
          <w:tcPr>
            <w:tcW w:w="283" w:type="pct"/>
            <w:tcBorders>
              <w:top w:val="nil"/>
              <w:left w:val="single" w:color="000000" w:sz="16" w:space="0"/>
              <w:bottom w:val="nil"/>
            </w:tcBorders>
            <w:shd w:val="clear" w:color="auto" w:fill="FFFFFF"/>
          </w:tcPr>
          <w:p w14:paraId="7C2AC15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0DB6814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5E21F2CF">
            <w:pPr>
              <w:autoSpaceDE w:val="0"/>
              <w:autoSpaceDN w:val="0"/>
              <w:adjustRightInd w:val="0"/>
              <w:spacing w:after="0" w:line="240" w:lineRule="auto"/>
              <w:jc w:val="center"/>
              <w:rPr>
                <w:rFonts w:cs="Times New Roman"/>
                <w:szCs w:val="24"/>
                <w:highlight w:val="none"/>
                <w:lang w:val="en-US"/>
              </w:rPr>
            </w:pPr>
          </w:p>
        </w:tc>
        <w:tc>
          <w:tcPr>
            <w:tcW w:w="283" w:type="pct"/>
            <w:tcBorders>
              <w:top w:val="nil"/>
              <w:bottom w:val="nil"/>
            </w:tcBorders>
            <w:shd w:val="clear" w:color="auto" w:fill="FFFFFF"/>
          </w:tcPr>
          <w:p w14:paraId="0A9DE69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1C52EC7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5F633E0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5307AAD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663E49F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094BAC5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7629F75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7E54E22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5C4063D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34611FA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55626DE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right w:val="single" w:color="000000" w:sz="16" w:space="0"/>
            </w:tcBorders>
            <w:shd w:val="clear" w:color="auto" w:fill="FFFFFF"/>
          </w:tcPr>
          <w:p w14:paraId="5EE7BAA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r>
      <w:tr w14:paraId="09F6ED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06" w:type="pct"/>
            <w:vMerge w:val="continue"/>
            <w:tcBorders>
              <w:top w:val="nil"/>
              <w:left w:val="single" w:color="000000" w:sz="16" w:space="0"/>
              <w:bottom w:val="nil"/>
              <w:right w:val="nil"/>
            </w:tcBorders>
            <w:shd w:val="clear" w:color="auto" w:fill="FFFFFF"/>
            <w:vAlign w:val="center"/>
          </w:tcPr>
          <w:p w14:paraId="4D859F1F">
            <w:pPr>
              <w:autoSpaceDE w:val="0"/>
              <w:autoSpaceDN w:val="0"/>
              <w:adjustRightInd w:val="0"/>
              <w:spacing w:after="0" w:line="240" w:lineRule="auto"/>
              <w:jc w:val="center"/>
              <w:rPr>
                <w:rFonts w:ascii="Arial" w:hAnsi="Arial" w:cs="Arial"/>
                <w:color w:val="000000"/>
                <w:sz w:val="18"/>
                <w:szCs w:val="18"/>
                <w:highlight w:val="none"/>
                <w:lang w:val="en-US"/>
              </w:rPr>
            </w:pPr>
          </w:p>
        </w:tc>
        <w:tc>
          <w:tcPr>
            <w:tcW w:w="553" w:type="pct"/>
            <w:tcBorders>
              <w:top w:val="nil"/>
              <w:left w:val="nil"/>
              <w:bottom w:val="nil"/>
              <w:right w:val="single" w:color="000000" w:sz="16" w:space="0"/>
            </w:tcBorders>
            <w:shd w:val="clear" w:color="auto" w:fill="FFFFFF"/>
            <w:vAlign w:val="center"/>
          </w:tcPr>
          <w:p w14:paraId="4A1D017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N</w:t>
            </w:r>
          </w:p>
        </w:tc>
        <w:tc>
          <w:tcPr>
            <w:tcW w:w="283" w:type="pct"/>
            <w:tcBorders>
              <w:top w:val="nil"/>
              <w:left w:val="single" w:color="000000" w:sz="16" w:space="0"/>
              <w:bottom w:val="nil"/>
            </w:tcBorders>
            <w:shd w:val="clear" w:color="auto" w:fill="FFFFFF"/>
          </w:tcPr>
          <w:p w14:paraId="46F0CE8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6EB8140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1D3B0AD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7804419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29AFB76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34CCA15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270A147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72A3D53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0C1B417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76F1123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3C46E09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2F55FD8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508E223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678EBC7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right w:val="single" w:color="000000" w:sz="16" w:space="0"/>
            </w:tcBorders>
            <w:shd w:val="clear" w:color="auto" w:fill="FFFFFF"/>
          </w:tcPr>
          <w:p w14:paraId="7F47B12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r>
      <w:tr w14:paraId="1BD5EF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06" w:type="pct"/>
            <w:vMerge w:val="restart"/>
            <w:tcBorders>
              <w:top w:val="nil"/>
              <w:left w:val="single" w:color="000000" w:sz="16" w:space="0"/>
              <w:bottom w:val="nil"/>
              <w:right w:val="nil"/>
            </w:tcBorders>
            <w:shd w:val="clear" w:color="auto" w:fill="FFFFFF"/>
            <w:vAlign w:val="center"/>
          </w:tcPr>
          <w:p w14:paraId="3C32910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Q4.</w:t>
            </w:r>
          </w:p>
        </w:tc>
        <w:tc>
          <w:tcPr>
            <w:tcW w:w="553" w:type="pct"/>
            <w:tcBorders>
              <w:top w:val="nil"/>
              <w:left w:val="nil"/>
              <w:bottom w:val="nil"/>
              <w:right w:val="single" w:color="000000" w:sz="16" w:space="0"/>
            </w:tcBorders>
            <w:shd w:val="clear" w:color="auto" w:fill="FFFFFF"/>
            <w:vAlign w:val="center"/>
          </w:tcPr>
          <w:p w14:paraId="381A21A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Pearson Correlation</w:t>
            </w:r>
          </w:p>
        </w:tc>
        <w:tc>
          <w:tcPr>
            <w:tcW w:w="283" w:type="pct"/>
            <w:tcBorders>
              <w:top w:val="nil"/>
              <w:left w:val="single" w:color="000000" w:sz="16" w:space="0"/>
              <w:bottom w:val="nil"/>
            </w:tcBorders>
            <w:shd w:val="clear" w:color="auto" w:fill="FFFFFF"/>
          </w:tcPr>
          <w:p w14:paraId="4342225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.983</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5C94008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.970</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1EEF1C7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.897</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262C4A5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w:t>
            </w:r>
          </w:p>
        </w:tc>
        <w:tc>
          <w:tcPr>
            <w:tcW w:w="283" w:type="pct"/>
            <w:tcBorders>
              <w:top w:val="nil"/>
              <w:bottom w:val="nil"/>
            </w:tcBorders>
            <w:shd w:val="clear" w:color="auto" w:fill="FFFFFF"/>
          </w:tcPr>
          <w:p w14:paraId="25F568C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.894</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2A1861D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.998</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2400BE8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.897</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238E674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.991</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7823FC6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.897</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13B8C9D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.983</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4E36617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.976</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49CC5E9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.982</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31F8E7B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.982</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2A661D5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.983</w:t>
            </w:r>
            <w:r>
              <w:rPr>
                <w:rFonts w:ascii="Arial" w:hAnsi="Arial" w:cs="Arial"/>
                <w:color w:val="000000"/>
                <w:sz w:val="18"/>
                <w:szCs w:val="18"/>
                <w:highlight w:val="none"/>
                <w:vertAlign w:val="superscript"/>
                <w:lang w:val="en-US"/>
              </w:rPr>
              <w:t>**</w:t>
            </w:r>
          </w:p>
        </w:tc>
        <w:tc>
          <w:tcPr>
            <w:tcW w:w="283" w:type="pct"/>
            <w:tcBorders>
              <w:top w:val="nil"/>
              <w:bottom w:val="nil"/>
              <w:right w:val="single" w:color="000000" w:sz="16" w:space="0"/>
            </w:tcBorders>
            <w:shd w:val="clear" w:color="auto" w:fill="FFFFFF"/>
          </w:tcPr>
          <w:p w14:paraId="3A217F7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.983</w:t>
            </w:r>
            <w:r>
              <w:rPr>
                <w:rFonts w:ascii="Arial" w:hAnsi="Arial" w:cs="Arial"/>
                <w:color w:val="000000"/>
                <w:sz w:val="18"/>
                <w:szCs w:val="18"/>
                <w:highlight w:val="none"/>
                <w:vertAlign w:val="superscript"/>
                <w:lang w:val="en-US"/>
              </w:rPr>
              <w:t>**</w:t>
            </w:r>
          </w:p>
        </w:tc>
      </w:tr>
      <w:tr w14:paraId="6B3772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06" w:type="pct"/>
            <w:vMerge w:val="continue"/>
            <w:tcBorders>
              <w:top w:val="nil"/>
              <w:left w:val="single" w:color="000000" w:sz="16" w:space="0"/>
              <w:bottom w:val="nil"/>
              <w:right w:val="nil"/>
            </w:tcBorders>
            <w:shd w:val="clear" w:color="auto" w:fill="FFFFFF"/>
            <w:vAlign w:val="center"/>
          </w:tcPr>
          <w:p w14:paraId="136FABC2">
            <w:pPr>
              <w:autoSpaceDE w:val="0"/>
              <w:autoSpaceDN w:val="0"/>
              <w:adjustRightInd w:val="0"/>
              <w:spacing w:after="0" w:line="240" w:lineRule="auto"/>
              <w:jc w:val="center"/>
              <w:rPr>
                <w:rFonts w:ascii="Arial" w:hAnsi="Arial" w:cs="Arial"/>
                <w:color w:val="000000"/>
                <w:sz w:val="18"/>
                <w:szCs w:val="18"/>
                <w:highlight w:val="none"/>
                <w:lang w:val="en-US"/>
              </w:rPr>
            </w:pPr>
          </w:p>
        </w:tc>
        <w:tc>
          <w:tcPr>
            <w:tcW w:w="553" w:type="pct"/>
            <w:tcBorders>
              <w:top w:val="nil"/>
              <w:left w:val="nil"/>
              <w:bottom w:val="nil"/>
              <w:right w:val="single" w:color="000000" w:sz="16" w:space="0"/>
            </w:tcBorders>
            <w:shd w:val="clear" w:color="auto" w:fill="FFFFFF"/>
            <w:vAlign w:val="center"/>
          </w:tcPr>
          <w:p w14:paraId="1036F24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Sig. (2-tailed)</w:t>
            </w:r>
          </w:p>
        </w:tc>
        <w:tc>
          <w:tcPr>
            <w:tcW w:w="283" w:type="pct"/>
            <w:tcBorders>
              <w:top w:val="nil"/>
              <w:left w:val="single" w:color="000000" w:sz="16" w:space="0"/>
              <w:bottom w:val="nil"/>
            </w:tcBorders>
            <w:shd w:val="clear" w:color="auto" w:fill="FFFFFF"/>
          </w:tcPr>
          <w:p w14:paraId="5BF3175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36A1E3A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309A669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6EA84111">
            <w:pPr>
              <w:autoSpaceDE w:val="0"/>
              <w:autoSpaceDN w:val="0"/>
              <w:adjustRightInd w:val="0"/>
              <w:spacing w:after="0" w:line="240" w:lineRule="auto"/>
              <w:jc w:val="center"/>
              <w:rPr>
                <w:rFonts w:cs="Times New Roman"/>
                <w:szCs w:val="24"/>
                <w:highlight w:val="none"/>
                <w:lang w:val="en-US"/>
              </w:rPr>
            </w:pPr>
          </w:p>
        </w:tc>
        <w:tc>
          <w:tcPr>
            <w:tcW w:w="283" w:type="pct"/>
            <w:tcBorders>
              <w:top w:val="nil"/>
              <w:bottom w:val="nil"/>
            </w:tcBorders>
            <w:shd w:val="clear" w:color="auto" w:fill="FFFFFF"/>
          </w:tcPr>
          <w:p w14:paraId="1475C25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3DE776A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15F311A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2F71A00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370D6C4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56D6A94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076EB04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2E8A21E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1856C6C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2805491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right w:val="single" w:color="000000" w:sz="16" w:space="0"/>
            </w:tcBorders>
            <w:shd w:val="clear" w:color="auto" w:fill="FFFFFF"/>
          </w:tcPr>
          <w:p w14:paraId="3B43C72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r>
      <w:tr w14:paraId="68FD54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06" w:type="pct"/>
            <w:vMerge w:val="continue"/>
            <w:tcBorders>
              <w:top w:val="nil"/>
              <w:left w:val="single" w:color="000000" w:sz="16" w:space="0"/>
              <w:bottom w:val="nil"/>
              <w:right w:val="nil"/>
            </w:tcBorders>
            <w:shd w:val="clear" w:color="auto" w:fill="FFFFFF"/>
            <w:vAlign w:val="center"/>
          </w:tcPr>
          <w:p w14:paraId="3BAC6C34">
            <w:pPr>
              <w:autoSpaceDE w:val="0"/>
              <w:autoSpaceDN w:val="0"/>
              <w:adjustRightInd w:val="0"/>
              <w:spacing w:after="0" w:line="240" w:lineRule="auto"/>
              <w:jc w:val="center"/>
              <w:rPr>
                <w:rFonts w:ascii="Arial" w:hAnsi="Arial" w:cs="Arial"/>
                <w:color w:val="000000"/>
                <w:sz w:val="18"/>
                <w:szCs w:val="18"/>
                <w:highlight w:val="none"/>
                <w:lang w:val="en-US"/>
              </w:rPr>
            </w:pPr>
          </w:p>
        </w:tc>
        <w:tc>
          <w:tcPr>
            <w:tcW w:w="553" w:type="pct"/>
            <w:tcBorders>
              <w:top w:val="nil"/>
              <w:left w:val="nil"/>
              <w:bottom w:val="nil"/>
              <w:right w:val="single" w:color="000000" w:sz="16" w:space="0"/>
            </w:tcBorders>
            <w:shd w:val="clear" w:color="auto" w:fill="FFFFFF"/>
            <w:vAlign w:val="center"/>
          </w:tcPr>
          <w:p w14:paraId="6084472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N</w:t>
            </w:r>
          </w:p>
        </w:tc>
        <w:tc>
          <w:tcPr>
            <w:tcW w:w="283" w:type="pct"/>
            <w:tcBorders>
              <w:top w:val="nil"/>
              <w:left w:val="single" w:color="000000" w:sz="16" w:space="0"/>
              <w:bottom w:val="nil"/>
            </w:tcBorders>
            <w:shd w:val="clear" w:color="auto" w:fill="FFFFFF"/>
          </w:tcPr>
          <w:p w14:paraId="775FE0F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6338E64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4440866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06FD909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31518FA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3B8B377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042F7FC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31D70B7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7C6E0B4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67E2DFB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37116BB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5EFBEB2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0CF08F3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5B7DFE4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right w:val="single" w:color="000000" w:sz="16" w:space="0"/>
            </w:tcBorders>
            <w:shd w:val="clear" w:color="auto" w:fill="FFFFFF"/>
          </w:tcPr>
          <w:p w14:paraId="742B120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r>
      <w:tr w14:paraId="3FCC96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06" w:type="pct"/>
            <w:vMerge w:val="restart"/>
            <w:tcBorders>
              <w:top w:val="nil"/>
              <w:left w:val="single" w:color="000000" w:sz="16" w:space="0"/>
              <w:bottom w:val="nil"/>
              <w:right w:val="nil"/>
            </w:tcBorders>
            <w:shd w:val="clear" w:color="auto" w:fill="FFFFFF"/>
            <w:vAlign w:val="center"/>
          </w:tcPr>
          <w:p w14:paraId="5387F69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Q5.</w:t>
            </w:r>
          </w:p>
        </w:tc>
        <w:tc>
          <w:tcPr>
            <w:tcW w:w="553" w:type="pct"/>
            <w:tcBorders>
              <w:top w:val="nil"/>
              <w:left w:val="nil"/>
              <w:bottom w:val="nil"/>
              <w:right w:val="single" w:color="000000" w:sz="16" w:space="0"/>
            </w:tcBorders>
            <w:shd w:val="clear" w:color="auto" w:fill="FFFFFF"/>
            <w:vAlign w:val="center"/>
          </w:tcPr>
          <w:p w14:paraId="7C13FEC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Pearson Correlation</w:t>
            </w:r>
          </w:p>
        </w:tc>
        <w:tc>
          <w:tcPr>
            <w:tcW w:w="283" w:type="pct"/>
            <w:tcBorders>
              <w:top w:val="nil"/>
              <w:left w:val="single" w:color="000000" w:sz="16" w:space="0"/>
              <w:bottom w:val="nil"/>
            </w:tcBorders>
            <w:shd w:val="clear" w:color="auto" w:fill="FFFFFF"/>
          </w:tcPr>
          <w:p w14:paraId="7FAFEE5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.960</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4A779D3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.963</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09EABA6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.999</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15C9F41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.894</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3E757BB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w:t>
            </w:r>
          </w:p>
        </w:tc>
        <w:tc>
          <w:tcPr>
            <w:tcW w:w="283" w:type="pct"/>
            <w:tcBorders>
              <w:top w:val="nil"/>
              <w:bottom w:val="nil"/>
            </w:tcBorders>
            <w:shd w:val="clear" w:color="auto" w:fill="FFFFFF"/>
          </w:tcPr>
          <w:p w14:paraId="1D711F3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.898</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2A3CD3A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.999</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0936500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.898</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3E54323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.999</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3911B0D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.960</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71A2113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.964</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4C34685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.963</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6B487DC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.963</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6CC2626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.960</w:t>
            </w:r>
            <w:r>
              <w:rPr>
                <w:rFonts w:ascii="Arial" w:hAnsi="Arial" w:cs="Arial"/>
                <w:color w:val="000000"/>
                <w:sz w:val="18"/>
                <w:szCs w:val="18"/>
                <w:highlight w:val="none"/>
                <w:vertAlign w:val="superscript"/>
                <w:lang w:val="en-US"/>
              </w:rPr>
              <w:t>**</w:t>
            </w:r>
          </w:p>
        </w:tc>
        <w:tc>
          <w:tcPr>
            <w:tcW w:w="283" w:type="pct"/>
            <w:tcBorders>
              <w:top w:val="nil"/>
              <w:bottom w:val="nil"/>
              <w:right w:val="single" w:color="000000" w:sz="16" w:space="0"/>
            </w:tcBorders>
            <w:shd w:val="clear" w:color="auto" w:fill="FFFFFF"/>
          </w:tcPr>
          <w:p w14:paraId="3E19660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.960</w:t>
            </w:r>
            <w:r>
              <w:rPr>
                <w:rFonts w:ascii="Arial" w:hAnsi="Arial" w:cs="Arial"/>
                <w:color w:val="000000"/>
                <w:sz w:val="18"/>
                <w:szCs w:val="18"/>
                <w:highlight w:val="none"/>
                <w:vertAlign w:val="superscript"/>
                <w:lang w:val="en-US"/>
              </w:rPr>
              <w:t>**</w:t>
            </w:r>
          </w:p>
        </w:tc>
      </w:tr>
      <w:tr w14:paraId="385181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06" w:type="pct"/>
            <w:vMerge w:val="continue"/>
            <w:tcBorders>
              <w:top w:val="nil"/>
              <w:left w:val="single" w:color="000000" w:sz="16" w:space="0"/>
              <w:bottom w:val="nil"/>
              <w:right w:val="nil"/>
            </w:tcBorders>
            <w:shd w:val="clear" w:color="auto" w:fill="FFFFFF"/>
            <w:vAlign w:val="center"/>
          </w:tcPr>
          <w:p w14:paraId="2F3572F8">
            <w:pPr>
              <w:autoSpaceDE w:val="0"/>
              <w:autoSpaceDN w:val="0"/>
              <w:adjustRightInd w:val="0"/>
              <w:spacing w:after="0" w:line="240" w:lineRule="auto"/>
              <w:jc w:val="center"/>
              <w:rPr>
                <w:rFonts w:ascii="Arial" w:hAnsi="Arial" w:cs="Arial"/>
                <w:color w:val="000000"/>
                <w:sz w:val="18"/>
                <w:szCs w:val="18"/>
                <w:highlight w:val="none"/>
                <w:lang w:val="en-US"/>
              </w:rPr>
            </w:pPr>
          </w:p>
        </w:tc>
        <w:tc>
          <w:tcPr>
            <w:tcW w:w="553" w:type="pct"/>
            <w:tcBorders>
              <w:top w:val="nil"/>
              <w:left w:val="nil"/>
              <w:bottom w:val="nil"/>
              <w:right w:val="single" w:color="000000" w:sz="16" w:space="0"/>
            </w:tcBorders>
            <w:shd w:val="clear" w:color="auto" w:fill="FFFFFF"/>
            <w:vAlign w:val="center"/>
          </w:tcPr>
          <w:p w14:paraId="50ADA40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Sig. (2-tailed)</w:t>
            </w:r>
          </w:p>
        </w:tc>
        <w:tc>
          <w:tcPr>
            <w:tcW w:w="283" w:type="pct"/>
            <w:tcBorders>
              <w:top w:val="nil"/>
              <w:left w:val="single" w:color="000000" w:sz="16" w:space="0"/>
              <w:bottom w:val="nil"/>
            </w:tcBorders>
            <w:shd w:val="clear" w:color="auto" w:fill="FFFFFF"/>
          </w:tcPr>
          <w:p w14:paraId="3D7091C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71B477B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1940BD0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49C5502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19146374">
            <w:pPr>
              <w:autoSpaceDE w:val="0"/>
              <w:autoSpaceDN w:val="0"/>
              <w:adjustRightInd w:val="0"/>
              <w:spacing w:after="0" w:line="240" w:lineRule="auto"/>
              <w:jc w:val="center"/>
              <w:rPr>
                <w:rFonts w:cs="Times New Roman"/>
                <w:szCs w:val="24"/>
                <w:highlight w:val="none"/>
                <w:lang w:val="en-US"/>
              </w:rPr>
            </w:pPr>
          </w:p>
        </w:tc>
        <w:tc>
          <w:tcPr>
            <w:tcW w:w="283" w:type="pct"/>
            <w:tcBorders>
              <w:top w:val="nil"/>
              <w:bottom w:val="nil"/>
            </w:tcBorders>
            <w:shd w:val="clear" w:color="auto" w:fill="FFFFFF"/>
          </w:tcPr>
          <w:p w14:paraId="6782B1A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155718C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7E584DA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1066C77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789E5FA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68A9AB6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0AE1593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38D5082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254ECF8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right w:val="single" w:color="000000" w:sz="16" w:space="0"/>
            </w:tcBorders>
            <w:shd w:val="clear" w:color="auto" w:fill="FFFFFF"/>
          </w:tcPr>
          <w:p w14:paraId="3011508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r>
      <w:tr w14:paraId="13633B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06" w:type="pct"/>
            <w:vMerge w:val="continue"/>
            <w:tcBorders>
              <w:top w:val="nil"/>
              <w:left w:val="single" w:color="000000" w:sz="16" w:space="0"/>
              <w:bottom w:val="nil"/>
              <w:right w:val="nil"/>
            </w:tcBorders>
            <w:shd w:val="clear" w:color="auto" w:fill="FFFFFF"/>
            <w:vAlign w:val="center"/>
          </w:tcPr>
          <w:p w14:paraId="77F01659">
            <w:pPr>
              <w:autoSpaceDE w:val="0"/>
              <w:autoSpaceDN w:val="0"/>
              <w:adjustRightInd w:val="0"/>
              <w:spacing w:after="0" w:line="240" w:lineRule="auto"/>
              <w:jc w:val="center"/>
              <w:rPr>
                <w:rFonts w:ascii="Arial" w:hAnsi="Arial" w:cs="Arial"/>
                <w:color w:val="000000"/>
                <w:sz w:val="18"/>
                <w:szCs w:val="18"/>
                <w:highlight w:val="none"/>
                <w:lang w:val="en-US"/>
              </w:rPr>
            </w:pPr>
          </w:p>
        </w:tc>
        <w:tc>
          <w:tcPr>
            <w:tcW w:w="553" w:type="pct"/>
            <w:tcBorders>
              <w:top w:val="nil"/>
              <w:left w:val="nil"/>
              <w:bottom w:val="nil"/>
              <w:right w:val="single" w:color="000000" w:sz="16" w:space="0"/>
            </w:tcBorders>
            <w:shd w:val="clear" w:color="auto" w:fill="FFFFFF"/>
            <w:vAlign w:val="center"/>
          </w:tcPr>
          <w:p w14:paraId="356D779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N</w:t>
            </w:r>
          </w:p>
        </w:tc>
        <w:tc>
          <w:tcPr>
            <w:tcW w:w="283" w:type="pct"/>
            <w:tcBorders>
              <w:top w:val="nil"/>
              <w:left w:val="single" w:color="000000" w:sz="16" w:space="0"/>
              <w:bottom w:val="nil"/>
            </w:tcBorders>
            <w:shd w:val="clear" w:color="auto" w:fill="FFFFFF"/>
          </w:tcPr>
          <w:p w14:paraId="1AE619F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62F6079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5ED5113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68EEB00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2812F95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53FE237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1B1DFE0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34140AA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060FB6B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49893AA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7DC29CB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75AE006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0DAEA4B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75BFC92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right w:val="single" w:color="000000" w:sz="16" w:space="0"/>
            </w:tcBorders>
            <w:shd w:val="clear" w:color="auto" w:fill="FFFFFF"/>
          </w:tcPr>
          <w:p w14:paraId="2BD2E58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r>
      <w:tr w14:paraId="7DE0D9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06" w:type="pct"/>
            <w:vMerge w:val="restart"/>
            <w:tcBorders>
              <w:top w:val="nil"/>
              <w:left w:val="single" w:color="000000" w:sz="16" w:space="0"/>
              <w:bottom w:val="nil"/>
              <w:right w:val="nil"/>
            </w:tcBorders>
            <w:shd w:val="clear" w:color="auto" w:fill="FFFFFF"/>
            <w:vAlign w:val="center"/>
          </w:tcPr>
          <w:p w14:paraId="689CC55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Q6.</w:t>
            </w:r>
          </w:p>
        </w:tc>
        <w:tc>
          <w:tcPr>
            <w:tcW w:w="553" w:type="pct"/>
            <w:tcBorders>
              <w:top w:val="nil"/>
              <w:left w:val="nil"/>
              <w:bottom w:val="nil"/>
              <w:right w:val="single" w:color="000000" w:sz="16" w:space="0"/>
            </w:tcBorders>
            <w:shd w:val="clear" w:color="auto" w:fill="FFFFFF"/>
            <w:vAlign w:val="center"/>
          </w:tcPr>
          <w:p w14:paraId="597E180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Pearson Correlation</w:t>
            </w:r>
          </w:p>
        </w:tc>
        <w:tc>
          <w:tcPr>
            <w:tcW w:w="283" w:type="pct"/>
            <w:tcBorders>
              <w:top w:val="nil"/>
              <w:left w:val="single" w:color="000000" w:sz="16" w:space="0"/>
              <w:bottom w:val="nil"/>
            </w:tcBorders>
            <w:shd w:val="clear" w:color="auto" w:fill="FFFFFF"/>
          </w:tcPr>
          <w:p w14:paraId="024F348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.980</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3DC6F7C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.978</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161293D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.898</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3C59718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.998</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50409C7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.898</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27FCF9C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w:t>
            </w:r>
          </w:p>
        </w:tc>
        <w:tc>
          <w:tcPr>
            <w:tcW w:w="283" w:type="pct"/>
            <w:tcBorders>
              <w:top w:val="nil"/>
              <w:bottom w:val="nil"/>
            </w:tcBorders>
            <w:shd w:val="clear" w:color="auto" w:fill="FFFFFF"/>
          </w:tcPr>
          <w:p w14:paraId="6A856C5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.898</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2056D34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.998</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79A9591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.898</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3F79DC3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.980</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6B13F26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.981</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0AD65D2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.982</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1768680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.982</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5A0B7AA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.980</w:t>
            </w:r>
            <w:r>
              <w:rPr>
                <w:rFonts w:ascii="Arial" w:hAnsi="Arial" w:cs="Arial"/>
                <w:color w:val="000000"/>
                <w:sz w:val="18"/>
                <w:szCs w:val="18"/>
                <w:highlight w:val="none"/>
                <w:vertAlign w:val="superscript"/>
                <w:lang w:val="en-US"/>
              </w:rPr>
              <w:t>**</w:t>
            </w:r>
          </w:p>
        </w:tc>
        <w:tc>
          <w:tcPr>
            <w:tcW w:w="283" w:type="pct"/>
            <w:tcBorders>
              <w:top w:val="nil"/>
              <w:bottom w:val="nil"/>
              <w:right w:val="single" w:color="000000" w:sz="16" w:space="0"/>
            </w:tcBorders>
            <w:shd w:val="clear" w:color="auto" w:fill="FFFFFF"/>
          </w:tcPr>
          <w:p w14:paraId="40932DA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.980</w:t>
            </w:r>
            <w:r>
              <w:rPr>
                <w:rFonts w:ascii="Arial" w:hAnsi="Arial" w:cs="Arial"/>
                <w:color w:val="000000"/>
                <w:sz w:val="18"/>
                <w:szCs w:val="18"/>
                <w:highlight w:val="none"/>
                <w:vertAlign w:val="superscript"/>
                <w:lang w:val="en-US"/>
              </w:rPr>
              <w:t>**</w:t>
            </w:r>
          </w:p>
        </w:tc>
      </w:tr>
      <w:tr w14:paraId="7E327E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06" w:type="pct"/>
            <w:vMerge w:val="continue"/>
            <w:tcBorders>
              <w:top w:val="nil"/>
              <w:left w:val="single" w:color="000000" w:sz="16" w:space="0"/>
              <w:bottom w:val="nil"/>
              <w:right w:val="nil"/>
            </w:tcBorders>
            <w:shd w:val="clear" w:color="auto" w:fill="FFFFFF"/>
            <w:vAlign w:val="center"/>
          </w:tcPr>
          <w:p w14:paraId="0FBFF105">
            <w:pPr>
              <w:autoSpaceDE w:val="0"/>
              <w:autoSpaceDN w:val="0"/>
              <w:adjustRightInd w:val="0"/>
              <w:spacing w:after="0" w:line="240" w:lineRule="auto"/>
              <w:jc w:val="center"/>
              <w:rPr>
                <w:rFonts w:ascii="Arial" w:hAnsi="Arial" w:cs="Arial"/>
                <w:color w:val="000000"/>
                <w:sz w:val="18"/>
                <w:szCs w:val="18"/>
                <w:highlight w:val="none"/>
                <w:lang w:val="en-US"/>
              </w:rPr>
            </w:pPr>
          </w:p>
        </w:tc>
        <w:tc>
          <w:tcPr>
            <w:tcW w:w="553" w:type="pct"/>
            <w:tcBorders>
              <w:top w:val="nil"/>
              <w:left w:val="nil"/>
              <w:bottom w:val="nil"/>
              <w:right w:val="single" w:color="000000" w:sz="16" w:space="0"/>
            </w:tcBorders>
            <w:shd w:val="clear" w:color="auto" w:fill="FFFFFF"/>
            <w:vAlign w:val="center"/>
          </w:tcPr>
          <w:p w14:paraId="5EB7498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Sig. (2-tailed)</w:t>
            </w:r>
          </w:p>
        </w:tc>
        <w:tc>
          <w:tcPr>
            <w:tcW w:w="283" w:type="pct"/>
            <w:tcBorders>
              <w:top w:val="nil"/>
              <w:left w:val="single" w:color="000000" w:sz="16" w:space="0"/>
              <w:bottom w:val="nil"/>
            </w:tcBorders>
            <w:shd w:val="clear" w:color="auto" w:fill="FFFFFF"/>
          </w:tcPr>
          <w:p w14:paraId="10B2EA2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1418766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68B9F7D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2812ED9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303D90A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427FC62B">
            <w:pPr>
              <w:autoSpaceDE w:val="0"/>
              <w:autoSpaceDN w:val="0"/>
              <w:adjustRightInd w:val="0"/>
              <w:spacing w:after="0" w:line="240" w:lineRule="auto"/>
              <w:jc w:val="center"/>
              <w:rPr>
                <w:rFonts w:cs="Times New Roman"/>
                <w:szCs w:val="24"/>
                <w:highlight w:val="none"/>
                <w:lang w:val="en-US"/>
              </w:rPr>
            </w:pPr>
          </w:p>
        </w:tc>
        <w:tc>
          <w:tcPr>
            <w:tcW w:w="283" w:type="pct"/>
            <w:tcBorders>
              <w:top w:val="nil"/>
              <w:bottom w:val="nil"/>
            </w:tcBorders>
            <w:shd w:val="clear" w:color="auto" w:fill="FFFFFF"/>
          </w:tcPr>
          <w:p w14:paraId="52257C5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7E751E1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1F07F98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35384F5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6AF968F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5D6AF48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1D80435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51368D4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right w:val="single" w:color="000000" w:sz="16" w:space="0"/>
            </w:tcBorders>
            <w:shd w:val="clear" w:color="auto" w:fill="FFFFFF"/>
          </w:tcPr>
          <w:p w14:paraId="1B6420A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r>
      <w:tr w14:paraId="59F88B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06" w:type="pct"/>
            <w:vMerge w:val="continue"/>
            <w:tcBorders>
              <w:top w:val="nil"/>
              <w:left w:val="single" w:color="000000" w:sz="16" w:space="0"/>
              <w:bottom w:val="nil"/>
              <w:right w:val="nil"/>
            </w:tcBorders>
            <w:shd w:val="clear" w:color="auto" w:fill="FFFFFF"/>
            <w:vAlign w:val="center"/>
          </w:tcPr>
          <w:p w14:paraId="179E625B">
            <w:pPr>
              <w:autoSpaceDE w:val="0"/>
              <w:autoSpaceDN w:val="0"/>
              <w:adjustRightInd w:val="0"/>
              <w:spacing w:after="0" w:line="240" w:lineRule="auto"/>
              <w:jc w:val="center"/>
              <w:rPr>
                <w:rFonts w:ascii="Arial" w:hAnsi="Arial" w:cs="Arial"/>
                <w:color w:val="000000"/>
                <w:sz w:val="18"/>
                <w:szCs w:val="18"/>
                <w:highlight w:val="none"/>
                <w:lang w:val="en-US"/>
              </w:rPr>
            </w:pPr>
          </w:p>
        </w:tc>
        <w:tc>
          <w:tcPr>
            <w:tcW w:w="553" w:type="pct"/>
            <w:tcBorders>
              <w:top w:val="nil"/>
              <w:left w:val="nil"/>
              <w:bottom w:val="nil"/>
              <w:right w:val="single" w:color="000000" w:sz="16" w:space="0"/>
            </w:tcBorders>
            <w:shd w:val="clear" w:color="auto" w:fill="FFFFFF"/>
            <w:vAlign w:val="center"/>
          </w:tcPr>
          <w:p w14:paraId="5AEAFAA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N</w:t>
            </w:r>
          </w:p>
        </w:tc>
        <w:tc>
          <w:tcPr>
            <w:tcW w:w="283" w:type="pct"/>
            <w:tcBorders>
              <w:top w:val="nil"/>
              <w:left w:val="single" w:color="000000" w:sz="16" w:space="0"/>
              <w:bottom w:val="nil"/>
            </w:tcBorders>
            <w:shd w:val="clear" w:color="auto" w:fill="FFFFFF"/>
          </w:tcPr>
          <w:p w14:paraId="5F4C422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77410CA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3B8C46D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75359A7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32477BF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2BEF17B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309DF25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60A5974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5CF0CEA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00C34AC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4369D11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4826683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5D23ECE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59126BF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right w:val="single" w:color="000000" w:sz="16" w:space="0"/>
            </w:tcBorders>
            <w:shd w:val="clear" w:color="auto" w:fill="FFFFFF"/>
          </w:tcPr>
          <w:p w14:paraId="265538A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r>
      <w:tr w14:paraId="1A6714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06" w:type="pct"/>
            <w:vMerge w:val="restart"/>
            <w:tcBorders>
              <w:top w:val="nil"/>
              <w:left w:val="single" w:color="000000" w:sz="16" w:space="0"/>
              <w:bottom w:val="nil"/>
              <w:right w:val="nil"/>
            </w:tcBorders>
            <w:shd w:val="clear" w:color="auto" w:fill="FFFFFF"/>
            <w:vAlign w:val="center"/>
          </w:tcPr>
          <w:p w14:paraId="3B99BAD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Q7.</w:t>
            </w:r>
          </w:p>
        </w:tc>
        <w:tc>
          <w:tcPr>
            <w:tcW w:w="553" w:type="pct"/>
            <w:tcBorders>
              <w:top w:val="nil"/>
              <w:left w:val="nil"/>
              <w:bottom w:val="nil"/>
              <w:right w:val="single" w:color="000000" w:sz="16" w:space="0"/>
            </w:tcBorders>
            <w:shd w:val="clear" w:color="auto" w:fill="FFFFFF"/>
            <w:vAlign w:val="center"/>
          </w:tcPr>
          <w:p w14:paraId="5D34C4B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Pearson Correlation</w:t>
            </w:r>
          </w:p>
        </w:tc>
        <w:tc>
          <w:tcPr>
            <w:tcW w:w="283" w:type="pct"/>
            <w:tcBorders>
              <w:top w:val="nil"/>
              <w:left w:val="single" w:color="000000" w:sz="16" w:space="0"/>
              <w:bottom w:val="nil"/>
            </w:tcBorders>
            <w:shd w:val="clear" w:color="auto" w:fill="FFFFFF"/>
          </w:tcPr>
          <w:p w14:paraId="49695A8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.963</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043C5A5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.959</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6DDE194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4445367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.897</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2571AC0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.999</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65750AB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.898</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018B480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w:t>
            </w:r>
          </w:p>
        </w:tc>
        <w:tc>
          <w:tcPr>
            <w:tcW w:w="283" w:type="pct"/>
            <w:tcBorders>
              <w:top w:val="nil"/>
              <w:bottom w:val="nil"/>
            </w:tcBorders>
            <w:shd w:val="clear" w:color="auto" w:fill="FFFFFF"/>
          </w:tcPr>
          <w:p w14:paraId="16BFC40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.895</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0F4C817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6D3446D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.963</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6287964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.962</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4AD4D11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.964</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61A5212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.964</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7586B8C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.963</w:t>
            </w:r>
            <w:r>
              <w:rPr>
                <w:rFonts w:ascii="Arial" w:hAnsi="Arial" w:cs="Arial"/>
                <w:color w:val="000000"/>
                <w:sz w:val="18"/>
                <w:szCs w:val="18"/>
                <w:highlight w:val="none"/>
                <w:vertAlign w:val="superscript"/>
                <w:lang w:val="en-US"/>
              </w:rPr>
              <w:t>**</w:t>
            </w:r>
          </w:p>
        </w:tc>
        <w:tc>
          <w:tcPr>
            <w:tcW w:w="283" w:type="pct"/>
            <w:tcBorders>
              <w:top w:val="nil"/>
              <w:bottom w:val="nil"/>
              <w:right w:val="single" w:color="000000" w:sz="16" w:space="0"/>
            </w:tcBorders>
            <w:shd w:val="clear" w:color="auto" w:fill="FFFFFF"/>
          </w:tcPr>
          <w:p w14:paraId="4BA948A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.963</w:t>
            </w:r>
            <w:r>
              <w:rPr>
                <w:rFonts w:ascii="Arial" w:hAnsi="Arial" w:cs="Arial"/>
                <w:color w:val="000000"/>
                <w:sz w:val="18"/>
                <w:szCs w:val="18"/>
                <w:highlight w:val="none"/>
                <w:vertAlign w:val="superscript"/>
                <w:lang w:val="en-US"/>
              </w:rPr>
              <w:t>**</w:t>
            </w:r>
          </w:p>
        </w:tc>
      </w:tr>
      <w:tr w14:paraId="67C023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06" w:type="pct"/>
            <w:vMerge w:val="continue"/>
            <w:tcBorders>
              <w:top w:val="nil"/>
              <w:left w:val="single" w:color="000000" w:sz="16" w:space="0"/>
              <w:bottom w:val="nil"/>
              <w:right w:val="nil"/>
            </w:tcBorders>
            <w:shd w:val="clear" w:color="auto" w:fill="FFFFFF"/>
            <w:vAlign w:val="center"/>
          </w:tcPr>
          <w:p w14:paraId="07294311">
            <w:pPr>
              <w:autoSpaceDE w:val="0"/>
              <w:autoSpaceDN w:val="0"/>
              <w:adjustRightInd w:val="0"/>
              <w:spacing w:after="0" w:line="240" w:lineRule="auto"/>
              <w:jc w:val="center"/>
              <w:rPr>
                <w:rFonts w:ascii="Arial" w:hAnsi="Arial" w:cs="Arial"/>
                <w:color w:val="000000"/>
                <w:sz w:val="18"/>
                <w:szCs w:val="18"/>
                <w:highlight w:val="none"/>
                <w:lang w:val="en-US"/>
              </w:rPr>
            </w:pPr>
          </w:p>
        </w:tc>
        <w:tc>
          <w:tcPr>
            <w:tcW w:w="553" w:type="pct"/>
            <w:tcBorders>
              <w:top w:val="nil"/>
              <w:left w:val="nil"/>
              <w:bottom w:val="nil"/>
              <w:right w:val="single" w:color="000000" w:sz="16" w:space="0"/>
            </w:tcBorders>
            <w:shd w:val="clear" w:color="auto" w:fill="FFFFFF"/>
            <w:vAlign w:val="center"/>
          </w:tcPr>
          <w:p w14:paraId="5F17EDF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Sig. (2-tailed)</w:t>
            </w:r>
          </w:p>
        </w:tc>
        <w:tc>
          <w:tcPr>
            <w:tcW w:w="283" w:type="pct"/>
            <w:tcBorders>
              <w:top w:val="nil"/>
              <w:left w:val="single" w:color="000000" w:sz="16" w:space="0"/>
              <w:bottom w:val="nil"/>
            </w:tcBorders>
            <w:shd w:val="clear" w:color="auto" w:fill="FFFFFF"/>
          </w:tcPr>
          <w:p w14:paraId="0EFBC92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4B45A8A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7832BD3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55E71FA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5DCAC35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6FB65B2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6A144FD8">
            <w:pPr>
              <w:autoSpaceDE w:val="0"/>
              <w:autoSpaceDN w:val="0"/>
              <w:adjustRightInd w:val="0"/>
              <w:spacing w:after="0" w:line="240" w:lineRule="auto"/>
              <w:jc w:val="center"/>
              <w:rPr>
                <w:rFonts w:cs="Times New Roman"/>
                <w:szCs w:val="24"/>
                <w:highlight w:val="none"/>
                <w:lang w:val="en-US"/>
              </w:rPr>
            </w:pPr>
          </w:p>
        </w:tc>
        <w:tc>
          <w:tcPr>
            <w:tcW w:w="283" w:type="pct"/>
            <w:tcBorders>
              <w:top w:val="nil"/>
              <w:bottom w:val="nil"/>
            </w:tcBorders>
            <w:shd w:val="clear" w:color="auto" w:fill="FFFFFF"/>
          </w:tcPr>
          <w:p w14:paraId="5A88FAC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2B06541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2A3FFDC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6783B3B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56E3BF7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51E9B9B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6F39FEA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right w:val="single" w:color="000000" w:sz="16" w:space="0"/>
            </w:tcBorders>
            <w:shd w:val="clear" w:color="auto" w:fill="FFFFFF"/>
          </w:tcPr>
          <w:p w14:paraId="3930A12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r>
      <w:tr w14:paraId="2A4AA3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06" w:type="pct"/>
            <w:vMerge w:val="continue"/>
            <w:tcBorders>
              <w:top w:val="nil"/>
              <w:left w:val="single" w:color="000000" w:sz="16" w:space="0"/>
              <w:bottom w:val="nil"/>
              <w:right w:val="nil"/>
            </w:tcBorders>
            <w:shd w:val="clear" w:color="auto" w:fill="FFFFFF"/>
            <w:vAlign w:val="center"/>
          </w:tcPr>
          <w:p w14:paraId="3EF38E65">
            <w:pPr>
              <w:autoSpaceDE w:val="0"/>
              <w:autoSpaceDN w:val="0"/>
              <w:adjustRightInd w:val="0"/>
              <w:spacing w:after="0" w:line="240" w:lineRule="auto"/>
              <w:jc w:val="center"/>
              <w:rPr>
                <w:rFonts w:ascii="Arial" w:hAnsi="Arial" w:cs="Arial"/>
                <w:color w:val="000000"/>
                <w:sz w:val="18"/>
                <w:szCs w:val="18"/>
                <w:highlight w:val="none"/>
                <w:lang w:val="en-US"/>
              </w:rPr>
            </w:pPr>
          </w:p>
        </w:tc>
        <w:tc>
          <w:tcPr>
            <w:tcW w:w="553" w:type="pct"/>
            <w:tcBorders>
              <w:top w:val="nil"/>
              <w:left w:val="nil"/>
              <w:bottom w:val="nil"/>
              <w:right w:val="single" w:color="000000" w:sz="16" w:space="0"/>
            </w:tcBorders>
            <w:shd w:val="clear" w:color="auto" w:fill="FFFFFF"/>
            <w:vAlign w:val="center"/>
          </w:tcPr>
          <w:p w14:paraId="4C57D4D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N</w:t>
            </w:r>
          </w:p>
        </w:tc>
        <w:tc>
          <w:tcPr>
            <w:tcW w:w="283" w:type="pct"/>
            <w:tcBorders>
              <w:top w:val="nil"/>
              <w:left w:val="single" w:color="000000" w:sz="16" w:space="0"/>
              <w:bottom w:val="nil"/>
            </w:tcBorders>
            <w:shd w:val="clear" w:color="auto" w:fill="FFFFFF"/>
          </w:tcPr>
          <w:p w14:paraId="1DB6EC0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64FBE00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7B59DBE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1DAB116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0AE3E15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70FE31E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149B51F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5B6AE14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22EF1E2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22F0E47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6A327FB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30B4838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0DD1087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32A5ED5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right w:val="single" w:color="000000" w:sz="16" w:space="0"/>
            </w:tcBorders>
            <w:shd w:val="clear" w:color="auto" w:fill="FFFFFF"/>
          </w:tcPr>
          <w:p w14:paraId="0359D8B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r>
      <w:tr w14:paraId="10B1E6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06" w:type="pct"/>
            <w:vMerge w:val="restart"/>
            <w:tcBorders>
              <w:top w:val="nil"/>
              <w:left w:val="single" w:color="000000" w:sz="16" w:space="0"/>
              <w:bottom w:val="nil"/>
              <w:right w:val="nil"/>
            </w:tcBorders>
            <w:shd w:val="clear" w:color="auto" w:fill="FFFFFF"/>
            <w:vAlign w:val="center"/>
          </w:tcPr>
          <w:p w14:paraId="70BF1B6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Q8.</w:t>
            </w:r>
          </w:p>
        </w:tc>
        <w:tc>
          <w:tcPr>
            <w:tcW w:w="553" w:type="pct"/>
            <w:tcBorders>
              <w:top w:val="nil"/>
              <w:left w:val="nil"/>
              <w:bottom w:val="nil"/>
              <w:right w:val="single" w:color="000000" w:sz="16" w:space="0"/>
            </w:tcBorders>
            <w:shd w:val="clear" w:color="auto" w:fill="FFFFFF"/>
            <w:vAlign w:val="center"/>
          </w:tcPr>
          <w:p w14:paraId="6978B7D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Pearson Correlation</w:t>
            </w:r>
          </w:p>
        </w:tc>
        <w:tc>
          <w:tcPr>
            <w:tcW w:w="283" w:type="pct"/>
            <w:tcBorders>
              <w:top w:val="nil"/>
              <w:left w:val="single" w:color="000000" w:sz="16" w:space="0"/>
              <w:bottom w:val="nil"/>
            </w:tcBorders>
            <w:shd w:val="clear" w:color="auto" w:fill="FFFFFF"/>
          </w:tcPr>
          <w:p w14:paraId="4B1023B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.974</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1A1C045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.982</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26D43C8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.895</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0E0C863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.991</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4519690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.898</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1B74D81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.998</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2DE1158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.895</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4D05CBC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w:t>
            </w:r>
          </w:p>
        </w:tc>
        <w:tc>
          <w:tcPr>
            <w:tcW w:w="283" w:type="pct"/>
            <w:tcBorders>
              <w:top w:val="nil"/>
              <w:bottom w:val="nil"/>
            </w:tcBorders>
            <w:shd w:val="clear" w:color="auto" w:fill="FFFFFF"/>
          </w:tcPr>
          <w:p w14:paraId="0DFCACF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.895</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4545519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.974</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55C6922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.983</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067A188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.978</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2F6267D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.978</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7BAAE4B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.974</w:t>
            </w:r>
            <w:r>
              <w:rPr>
                <w:rFonts w:ascii="Arial" w:hAnsi="Arial" w:cs="Arial"/>
                <w:color w:val="000000"/>
                <w:sz w:val="18"/>
                <w:szCs w:val="18"/>
                <w:highlight w:val="none"/>
                <w:vertAlign w:val="superscript"/>
                <w:lang w:val="en-US"/>
              </w:rPr>
              <w:t>**</w:t>
            </w:r>
          </w:p>
        </w:tc>
        <w:tc>
          <w:tcPr>
            <w:tcW w:w="283" w:type="pct"/>
            <w:tcBorders>
              <w:top w:val="nil"/>
              <w:bottom w:val="nil"/>
              <w:right w:val="single" w:color="000000" w:sz="16" w:space="0"/>
            </w:tcBorders>
            <w:shd w:val="clear" w:color="auto" w:fill="FFFFFF"/>
          </w:tcPr>
          <w:p w14:paraId="6C6A12A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.974</w:t>
            </w:r>
            <w:r>
              <w:rPr>
                <w:rFonts w:ascii="Arial" w:hAnsi="Arial" w:cs="Arial"/>
                <w:color w:val="000000"/>
                <w:sz w:val="18"/>
                <w:szCs w:val="18"/>
                <w:highlight w:val="none"/>
                <w:vertAlign w:val="superscript"/>
                <w:lang w:val="en-US"/>
              </w:rPr>
              <w:t>**</w:t>
            </w:r>
          </w:p>
        </w:tc>
      </w:tr>
      <w:tr w14:paraId="246934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06" w:type="pct"/>
            <w:vMerge w:val="continue"/>
            <w:tcBorders>
              <w:top w:val="nil"/>
              <w:left w:val="single" w:color="000000" w:sz="16" w:space="0"/>
              <w:bottom w:val="nil"/>
              <w:right w:val="nil"/>
            </w:tcBorders>
            <w:shd w:val="clear" w:color="auto" w:fill="FFFFFF"/>
            <w:vAlign w:val="center"/>
          </w:tcPr>
          <w:p w14:paraId="569AF80C">
            <w:pPr>
              <w:autoSpaceDE w:val="0"/>
              <w:autoSpaceDN w:val="0"/>
              <w:adjustRightInd w:val="0"/>
              <w:spacing w:after="0" w:line="240" w:lineRule="auto"/>
              <w:jc w:val="center"/>
              <w:rPr>
                <w:rFonts w:ascii="Arial" w:hAnsi="Arial" w:cs="Arial"/>
                <w:color w:val="000000"/>
                <w:sz w:val="18"/>
                <w:szCs w:val="18"/>
                <w:highlight w:val="none"/>
                <w:lang w:val="en-US"/>
              </w:rPr>
            </w:pPr>
          </w:p>
        </w:tc>
        <w:tc>
          <w:tcPr>
            <w:tcW w:w="553" w:type="pct"/>
            <w:tcBorders>
              <w:top w:val="nil"/>
              <w:left w:val="nil"/>
              <w:bottom w:val="nil"/>
              <w:right w:val="single" w:color="000000" w:sz="16" w:space="0"/>
            </w:tcBorders>
            <w:shd w:val="clear" w:color="auto" w:fill="FFFFFF"/>
            <w:vAlign w:val="center"/>
          </w:tcPr>
          <w:p w14:paraId="08B6BF4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Sig. (2-tailed)</w:t>
            </w:r>
          </w:p>
        </w:tc>
        <w:tc>
          <w:tcPr>
            <w:tcW w:w="283" w:type="pct"/>
            <w:tcBorders>
              <w:top w:val="nil"/>
              <w:left w:val="single" w:color="000000" w:sz="16" w:space="0"/>
              <w:bottom w:val="nil"/>
            </w:tcBorders>
            <w:shd w:val="clear" w:color="auto" w:fill="FFFFFF"/>
          </w:tcPr>
          <w:p w14:paraId="30EF125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3B85951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171ED17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735F2F4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2F5F640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0F05C79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1500157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4D8AE500">
            <w:pPr>
              <w:autoSpaceDE w:val="0"/>
              <w:autoSpaceDN w:val="0"/>
              <w:adjustRightInd w:val="0"/>
              <w:spacing w:after="0" w:line="240" w:lineRule="auto"/>
              <w:jc w:val="center"/>
              <w:rPr>
                <w:rFonts w:cs="Times New Roman"/>
                <w:szCs w:val="24"/>
                <w:highlight w:val="none"/>
                <w:lang w:val="en-US"/>
              </w:rPr>
            </w:pPr>
          </w:p>
        </w:tc>
        <w:tc>
          <w:tcPr>
            <w:tcW w:w="283" w:type="pct"/>
            <w:tcBorders>
              <w:top w:val="nil"/>
              <w:bottom w:val="nil"/>
            </w:tcBorders>
            <w:shd w:val="clear" w:color="auto" w:fill="FFFFFF"/>
          </w:tcPr>
          <w:p w14:paraId="5633F16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3BCB48E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70B3F9B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31D90A5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1FEE9FE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4C40AAA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right w:val="single" w:color="000000" w:sz="16" w:space="0"/>
            </w:tcBorders>
            <w:shd w:val="clear" w:color="auto" w:fill="FFFFFF"/>
          </w:tcPr>
          <w:p w14:paraId="1223818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r>
      <w:tr w14:paraId="0B826D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06" w:type="pct"/>
            <w:vMerge w:val="continue"/>
            <w:tcBorders>
              <w:top w:val="nil"/>
              <w:left w:val="single" w:color="000000" w:sz="16" w:space="0"/>
              <w:bottom w:val="nil"/>
              <w:right w:val="nil"/>
            </w:tcBorders>
            <w:shd w:val="clear" w:color="auto" w:fill="FFFFFF"/>
            <w:vAlign w:val="center"/>
          </w:tcPr>
          <w:p w14:paraId="475C8A59">
            <w:pPr>
              <w:autoSpaceDE w:val="0"/>
              <w:autoSpaceDN w:val="0"/>
              <w:adjustRightInd w:val="0"/>
              <w:spacing w:after="0" w:line="240" w:lineRule="auto"/>
              <w:jc w:val="center"/>
              <w:rPr>
                <w:rFonts w:ascii="Arial" w:hAnsi="Arial" w:cs="Arial"/>
                <w:color w:val="000000"/>
                <w:sz w:val="18"/>
                <w:szCs w:val="18"/>
                <w:highlight w:val="none"/>
                <w:lang w:val="en-US"/>
              </w:rPr>
            </w:pPr>
          </w:p>
        </w:tc>
        <w:tc>
          <w:tcPr>
            <w:tcW w:w="553" w:type="pct"/>
            <w:tcBorders>
              <w:top w:val="nil"/>
              <w:left w:val="nil"/>
              <w:bottom w:val="nil"/>
              <w:right w:val="single" w:color="000000" w:sz="16" w:space="0"/>
            </w:tcBorders>
            <w:shd w:val="clear" w:color="auto" w:fill="FFFFFF"/>
            <w:vAlign w:val="center"/>
          </w:tcPr>
          <w:p w14:paraId="5FE19C9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N</w:t>
            </w:r>
          </w:p>
        </w:tc>
        <w:tc>
          <w:tcPr>
            <w:tcW w:w="283" w:type="pct"/>
            <w:tcBorders>
              <w:top w:val="nil"/>
              <w:left w:val="single" w:color="000000" w:sz="16" w:space="0"/>
              <w:bottom w:val="nil"/>
            </w:tcBorders>
            <w:shd w:val="clear" w:color="auto" w:fill="FFFFFF"/>
          </w:tcPr>
          <w:p w14:paraId="6682217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6B422F3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7062557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01EFF7C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675B285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00C1647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23C51C2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5AA73E5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6DE8E03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121A221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3C73E34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0668F57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3320A69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5238649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right w:val="single" w:color="000000" w:sz="16" w:space="0"/>
            </w:tcBorders>
            <w:shd w:val="clear" w:color="auto" w:fill="FFFFFF"/>
          </w:tcPr>
          <w:p w14:paraId="1F883EC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r>
      <w:tr w14:paraId="1E993A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06" w:type="pct"/>
            <w:vMerge w:val="restart"/>
            <w:tcBorders>
              <w:top w:val="nil"/>
              <w:left w:val="single" w:color="000000" w:sz="16" w:space="0"/>
              <w:bottom w:val="nil"/>
              <w:right w:val="nil"/>
            </w:tcBorders>
            <w:shd w:val="clear" w:color="auto" w:fill="FFFFFF"/>
            <w:vAlign w:val="center"/>
          </w:tcPr>
          <w:p w14:paraId="59B6456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Q9.</w:t>
            </w:r>
          </w:p>
        </w:tc>
        <w:tc>
          <w:tcPr>
            <w:tcW w:w="553" w:type="pct"/>
            <w:tcBorders>
              <w:top w:val="nil"/>
              <w:left w:val="nil"/>
              <w:bottom w:val="nil"/>
              <w:right w:val="single" w:color="000000" w:sz="16" w:space="0"/>
            </w:tcBorders>
            <w:shd w:val="clear" w:color="auto" w:fill="FFFFFF"/>
            <w:vAlign w:val="center"/>
          </w:tcPr>
          <w:p w14:paraId="7223428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Pearson Correlation</w:t>
            </w:r>
          </w:p>
        </w:tc>
        <w:tc>
          <w:tcPr>
            <w:tcW w:w="283" w:type="pct"/>
            <w:tcBorders>
              <w:top w:val="nil"/>
              <w:left w:val="single" w:color="000000" w:sz="16" w:space="0"/>
              <w:bottom w:val="nil"/>
            </w:tcBorders>
            <w:shd w:val="clear" w:color="auto" w:fill="FFFFFF"/>
          </w:tcPr>
          <w:p w14:paraId="097F4F9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.963</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1930812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.959</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71DC740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7FA7FD2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.897</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54031BC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.999</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721C973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.898</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7393DBF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7FC1FC7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.895</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25EA0C8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w:t>
            </w:r>
          </w:p>
        </w:tc>
        <w:tc>
          <w:tcPr>
            <w:tcW w:w="283" w:type="pct"/>
            <w:tcBorders>
              <w:top w:val="nil"/>
              <w:bottom w:val="nil"/>
            </w:tcBorders>
            <w:shd w:val="clear" w:color="auto" w:fill="FFFFFF"/>
          </w:tcPr>
          <w:p w14:paraId="7C8AC3E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.963</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679E707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.962</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46CF456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.964</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2C464E4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.964</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03BBF98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.963</w:t>
            </w:r>
            <w:r>
              <w:rPr>
                <w:rFonts w:ascii="Arial" w:hAnsi="Arial" w:cs="Arial"/>
                <w:color w:val="000000"/>
                <w:sz w:val="18"/>
                <w:szCs w:val="18"/>
                <w:highlight w:val="none"/>
                <w:vertAlign w:val="superscript"/>
                <w:lang w:val="en-US"/>
              </w:rPr>
              <w:t>**</w:t>
            </w:r>
          </w:p>
        </w:tc>
        <w:tc>
          <w:tcPr>
            <w:tcW w:w="283" w:type="pct"/>
            <w:tcBorders>
              <w:top w:val="nil"/>
              <w:bottom w:val="nil"/>
              <w:right w:val="single" w:color="000000" w:sz="16" w:space="0"/>
            </w:tcBorders>
            <w:shd w:val="clear" w:color="auto" w:fill="FFFFFF"/>
          </w:tcPr>
          <w:p w14:paraId="5D91757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.963</w:t>
            </w:r>
            <w:r>
              <w:rPr>
                <w:rFonts w:ascii="Arial" w:hAnsi="Arial" w:cs="Arial"/>
                <w:color w:val="000000"/>
                <w:sz w:val="18"/>
                <w:szCs w:val="18"/>
                <w:highlight w:val="none"/>
                <w:vertAlign w:val="superscript"/>
                <w:lang w:val="en-US"/>
              </w:rPr>
              <w:t>**</w:t>
            </w:r>
          </w:p>
        </w:tc>
      </w:tr>
      <w:tr w14:paraId="262CAF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06" w:type="pct"/>
            <w:vMerge w:val="continue"/>
            <w:tcBorders>
              <w:top w:val="nil"/>
              <w:left w:val="single" w:color="000000" w:sz="16" w:space="0"/>
              <w:bottom w:val="nil"/>
              <w:right w:val="nil"/>
            </w:tcBorders>
            <w:shd w:val="clear" w:color="auto" w:fill="FFFFFF"/>
            <w:vAlign w:val="center"/>
          </w:tcPr>
          <w:p w14:paraId="2830217C">
            <w:pPr>
              <w:autoSpaceDE w:val="0"/>
              <w:autoSpaceDN w:val="0"/>
              <w:adjustRightInd w:val="0"/>
              <w:spacing w:after="0" w:line="240" w:lineRule="auto"/>
              <w:jc w:val="center"/>
              <w:rPr>
                <w:rFonts w:ascii="Arial" w:hAnsi="Arial" w:cs="Arial"/>
                <w:color w:val="000000"/>
                <w:sz w:val="18"/>
                <w:szCs w:val="18"/>
                <w:highlight w:val="none"/>
                <w:lang w:val="en-US"/>
              </w:rPr>
            </w:pPr>
          </w:p>
        </w:tc>
        <w:tc>
          <w:tcPr>
            <w:tcW w:w="553" w:type="pct"/>
            <w:tcBorders>
              <w:top w:val="nil"/>
              <w:left w:val="nil"/>
              <w:bottom w:val="nil"/>
              <w:right w:val="single" w:color="000000" w:sz="16" w:space="0"/>
            </w:tcBorders>
            <w:shd w:val="clear" w:color="auto" w:fill="FFFFFF"/>
            <w:vAlign w:val="center"/>
          </w:tcPr>
          <w:p w14:paraId="3F68276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Sig. (2-tailed)</w:t>
            </w:r>
          </w:p>
        </w:tc>
        <w:tc>
          <w:tcPr>
            <w:tcW w:w="283" w:type="pct"/>
            <w:tcBorders>
              <w:top w:val="nil"/>
              <w:left w:val="single" w:color="000000" w:sz="16" w:space="0"/>
              <w:bottom w:val="nil"/>
            </w:tcBorders>
            <w:shd w:val="clear" w:color="auto" w:fill="FFFFFF"/>
          </w:tcPr>
          <w:p w14:paraId="73A9217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0C27F64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445F8A7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5568DC0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0341BDB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5327F10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3FBF753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09E6320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0B8E7AB5">
            <w:pPr>
              <w:autoSpaceDE w:val="0"/>
              <w:autoSpaceDN w:val="0"/>
              <w:adjustRightInd w:val="0"/>
              <w:spacing w:after="0" w:line="240" w:lineRule="auto"/>
              <w:jc w:val="center"/>
              <w:rPr>
                <w:rFonts w:cs="Times New Roman"/>
                <w:szCs w:val="24"/>
                <w:highlight w:val="none"/>
                <w:lang w:val="en-US"/>
              </w:rPr>
            </w:pPr>
          </w:p>
        </w:tc>
        <w:tc>
          <w:tcPr>
            <w:tcW w:w="283" w:type="pct"/>
            <w:tcBorders>
              <w:top w:val="nil"/>
              <w:bottom w:val="nil"/>
            </w:tcBorders>
            <w:shd w:val="clear" w:color="auto" w:fill="FFFFFF"/>
          </w:tcPr>
          <w:p w14:paraId="3452FFA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48FEFA9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3BE0039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6FD80F8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3E877C6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right w:val="single" w:color="000000" w:sz="16" w:space="0"/>
            </w:tcBorders>
            <w:shd w:val="clear" w:color="auto" w:fill="FFFFFF"/>
          </w:tcPr>
          <w:p w14:paraId="4FAB0C7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r>
      <w:tr w14:paraId="4D1111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06" w:type="pct"/>
            <w:vMerge w:val="continue"/>
            <w:tcBorders>
              <w:top w:val="nil"/>
              <w:left w:val="single" w:color="000000" w:sz="16" w:space="0"/>
              <w:bottom w:val="nil"/>
              <w:right w:val="nil"/>
            </w:tcBorders>
            <w:shd w:val="clear" w:color="auto" w:fill="FFFFFF"/>
            <w:vAlign w:val="center"/>
          </w:tcPr>
          <w:p w14:paraId="473F4F7C">
            <w:pPr>
              <w:autoSpaceDE w:val="0"/>
              <w:autoSpaceDN w:val="0"/>
              <w:adjustRightInd w:val="0"/>
              <w:spacing w:after="0" w:line="240" w:lineRule="auto"/>
              <w:jc w:val="center"/>
              <w:rPr>
                <w:rFonts w:ascii="Arial" w:hAnsi="Arial" w:cs="Arial"/>
                <w:color w:val="000000"/>
                <w:sz w:val="18"/>
                <w:szCs w:val="18"/>
                <w:highlight w:val="none"/>
                <w:lang w:val="en-US"/>
              </w:rPr>
            </w:pPr>
          </w:p>
        </w:tc>
        <w:tc>
          <w:tcPr>
            <w:tcW w:w="553" w:type="pct"/>
            <w:tcBorders>
              <w:top w:val="nil"/>
              <w:left w:val="nil"/>
              <w:bottom w:val="nil"/>
              <w:right w:val="single" w:color="000000" w:sz="16" w:space="0"/>
            </w:tcBorders>
            <w:shd w:val="clear" w:color="auto" w:fill="FFFFFF"/>
            <w:vAlign w:val="center"/>
          </w:tcPr>
          <w:p w14:paraId="5AC8E3A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N</w:t>
            </w:r>
          </w:p>
        </w:tc>
        <w:tc>
          <w:tcPr>
            <w:tcW w:w="283" w:type="pct"/>
            <w:tcBorders>
              <w:top w:val="nil"/>
              <w:left w:val="single" w:color="000000" w:sz="16" w:space="0"/>
              <w:bottom w:val="nil"/>
            </w:tcBorders>
            <w:shd w:val="clear" w:color="auto" w:fill="FFFFFF"/>
          </w:tcPr>
          <w:p w14:paraId="7C533A0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1F8C5A1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4939D61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3D7A585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46F1832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5A1FD46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58A9661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5A54B75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0E48DCB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678BA01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2FFB0C7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7DCD7D0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47DBCF0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12F2F2A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right w:val="single" w:color="000000" w:sz="16" w:space="0"/>
            </w:tcBorders>
            <w:shd w:val="clear" w:color="auto" w:fill="FFFFFF"/>
          </w:tcPr>
          <w:p w14:paraId="4434A2B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r>
      <w:tr w14:paraId="435177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06" w:type="pct"/>
            <w:vMerge w:val="restart"/>
            <w:tcBorders>
              <w:top w:val="nil"/>
              <w:left w:val="single" w:color="000000" w:sz="16" w:space="0"/>
              <w:bottom w:val="nil"/>
              <w:right w:val="nil"/>
            </w:tcBorders>
            <w:shd w:val="clear" w:color="auto" w:fill="FFFFFF"/>
            <w:vAlign w:val="center"/>
          </w:tcPr>
          <w:p w14:paraId="6058248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 10.</w:t>
            </w:r>
          </w:p>
        </w:tc>
        <w:tc>
          <w:tcPr>
            <w:tcW w:w="553" w:type="pct"/>
            <w:tcBorders>
              <w:top w:val="nil"/>
              <w:left w:val="nil"/>
              <w:bottom w:val="nil"/>
              <w:right w:val="single" w:color="000000" w:sz="16" w:space="0"/>
            </w:tcBorders>
            <w:shd w:val="clear" w:color="auto" w:fill="FFFFFF"/>
            <w:vAlign w:val="center"/>
          </w:tcPr>
          <w:p w14:paraId="75C3A85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Pearson Correlation</w:t>
            </w:r>
          </w:p>
        </w:tc>
        <w:tc>
          <w:tcPr>
            <w:tcW w:w="283" w:type="pct"/>
            <w:tcBorders>
              <w:top w:val="nil"/>
              <w:left w:val="single" w:color="000000" w:sz="16" w:space="0"/>
              <w:bottom w:val="nil"/>
            </w:tcBorders>
            <w:shd w:val="clear" w:color="auto" w:fill="FFFFFF"/>
          </w:tcPr>
          <w:p w14:paraId="5407262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5CC2C52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.987</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27223A0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.963</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0B3ED46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.983</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46C76B4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.960</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75B79CF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.980</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305D155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.963</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110D196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.974</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59170E4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.963</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57AA71F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w:t>
            </w:r>
          </w:p>
        </w:tc>
        <w:tc>
          <w:tcPr>
            <w:tcW w:w="283" w:type="pct"/>
            <w:tcBorders>
              <w:top w:val="nil"/>
              <w:bottom w:val="nil"/>
            </w:tcBorders>
            <w:shd w:val="clear" w:color="auto" w:fill="FFFFFF"/>
          </w:tcPr>
          <w:p w14:paraId="0B68E93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.993</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49DEAD6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.999</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6D8329B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.999</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2AE114B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r>
              <w:rPr>
                <w:rFonts w:ascii="Arial" w:hAnsi="Arial" w:cs="Arial"/>
                <w:color w:val="000000"/>
                <w:sz w:val="18"/>
                <w:szCs w:val="18"/>
                <w:highlight w:val="none"/>
                <w:vertAlign w:val="superscript"/>
                <w:lang w:val="en-US"/>
              </w:rPr>
              <w:t>**</w:t>
            </w:r>
          </w:p>
        </w:tc>
        <w:tc>
          <w:tcPr>
            <w:tcW w:w="283" w:type="pct"/>
            <w:tcBorders>
              <w:top w:val="nil"/>
              <w:bottom w:val="nil"/>
              <w:right w:val="single" w:color="000000" w:sz="16" w:space="0"/>
            </w:tcBorders>
            <w:shd w:val="clear" w:color="auto" w:fill="FFFFFF"/>
          </w:tcPr>
          <w:p w14:paraId="595DE4F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r>
              <w:rPr>
                <w:rFonts w:ascii="Arial" w:hAnsi="Arial" w:cs="Arial"/>
                <w:color w:val="000000"/>
                <w:sz w:val="18"/>
                <w:szCs w:val="18"/>
                <w:highlight w:val="none"/>
                <w:vertAlign w:val="superscript"/>
                <w:lang w:val="en-US"/>
              </w:rPr>
              <w:t>**</w:t>
            </w:r>
          </w:p>
        </w:tc>
      </w:tr>
      <w:tr w14:paraId="217F92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06" w:type="pct"/>
            <w:vMerge w:val="continue"/>
            <w:tcBorders>
              <w:top w:val="nil"/>
              <w:left w:val="single" w:color="000000" w:sz="16" w:space="0"/>
              <w:bottom w:val="nil"/>
              <w:right w:val="nil"/>
            </w:tcBorders>
            <w:shd w:val="clear" w:color="auto" w:fill="FFFFFF"/>
            <w:vAlign w:val="center"/>
          </w:tcPr>
          <w:p w14:paraId="3DA1DDCE">
            <w:pPr>
              <w:autoSpaceDE w:val="0"/>
              <w:autoSpaceDN w:val="0"/>
              <w:adjustRightInd w:val="0"/>
              <w:spacing w:after="0" w:line="240" w:lineRule="auto"/>
              <w:jc w:val="center"/>
              <w:rPr>
                <w:rFonts w:ascii="Arial" w:hAnsi="Arial" w:cs="Arial"/>
                <w:color w:val="000000"/>
                <w:sz w:val="18"/>
                <w:szCs w:val="18"/>
                <w:highlight w:val="none"/>
                <w:lang w:val="en-US"/>
              </w:rPr>
            </w:pPr>
          </w:p>
        </w:tc>
        <w:tc>
          <w:tcPr>
            <w:tcW w:w="553" w:type="pct"/>
            <w:tcBorders>
              <w:top w:val="nil"/>
              <w:left w:val="nil"/>
              <w:bottom w:val="nil"/>
              <w:right w:val="single" w:color="000000" w:sz="16" w:space="0"/>
            </w:tcBorders>
            <w:shd w:val="clear" w:color="auto" w:fill="FFFFFF"/>
            <w:vAlign w:val="center"/>
          </w:tcPr>
          <w:p w14:paraId="057D581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Sig. (2-tailed)</w:t>
            </w:r>
          </w:p>
        </w:tc>
        <w:tc>
          <w:tcPr>
            <w:tcW w:w="283" w:type="pct"/>
            <w:tcBorders>
              <w:top w:val="nil"/>
              <w:left w:val="single" w:color="000000" w:sz="16" w:space="0"/>
              <w:bottom w:val="nil"/>
            </w:tcBorders>
            <w:shd w:val="clear" w:color="auto" w:fill="FFFFFF"/>
          </w:tcPr>
          <w:p w14:paraId="1935FF9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350AC7F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3B9EEE4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5B979A8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0838455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69767A6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3830997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73E24A3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1CBDDF0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44749313">
            <w:pPr>
              <w:autoSpaceDE w:val="0"/>
              <w:autoSpaceDN w:val="0"/>
              <w:adjustRightInd w:val="0"/>
              <w:spacing w:after="0" w:line="240" w:lineRule="auto"/>
              <w:jc w:val="center"/>
              <w:rPr>
                <w:rFonts w:cs="Times New Roman"/>
                <w:szCs w:val="24"/>
                <w:highlight w:val="none"/>
                <w:lang w:val="en-US"/>
              </w:rPr>
            </w:pPr>
          </w:p>
        </w:tc>
        <w:tc>
          <w:tcPr>
            <w:tcW w:w="283" w:type="pct"/>
            <w:tcBorders>
              <w:top w:val="nil"/>
              <w:bottom w:val="nil"/>
            </w:tcBorders>
            <w:shd w:val="clear" w:color="auto" w:fill="FFFFFF"/>
          </w:tcPr>
          <w:p w14:paraId="1E7CFAF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328A6D5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31CB124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2D932B6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right w:val="single" w:color="000000" w:sz="16" w:space="0"/>
            </w:tcBorders>
            <w:shd w:val="clear" w:color="auto" w:fill="FFFFFF"/>
          </w:tcPr>
          <w:p w14:paraId="528E22F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r>
      <w:tr w14:paraId="59E4D6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06" w:type="pct"/>
            <w:vMerge w:val="continue"/>
            <w:tcBorders>
              <w:top w:val="nil"/>
              <w:left w:val="single" w:color="000000" w:sz="16" w:space="0"/>
              <w:bottom w:val="nil"/>
              <w:right w:val="nil"/>
            </w:tcBorders>
            <w:shd w:val="clear" w:color="auto" w:fill="FFFFFF"/>
            <w:vAlign w:val="center"/>
          </w:tcPr>
          <w:p w14:paraId="1D8DB955">
            <w:pPr>
              <w:autoSpaceDE w:val="0"/>
              <w:autoSpaceDN w:val="0"/>
              <w:adjustRightInd w:val="0"/>
              <w:spacing w:after="0" w:line="240" w:lineRule="auto"/>
              <w:jc w:val="center"/>
              <w:rPr>
                <w:rFonts w:ascii="Arial" w:hAnsi="Arial" w:cs="Arial"/>
                <w:color w:val="000000"/>
                <w:sz w:val="18"/>
                <w:szCs w:val="18"/>
                <w:highlight w:val="none"/>
                <w:lang w:val="en-US"/>
              </w:rPr>
            </w:pPr>
          </w:p>
        </w:tc>
        <w:tc>
          <w:tcPr>
            <w:tcW w:w="553" w:type="pct"/>
            <w:tcBorders>
              <w:top w:val="nil"/>
              <w:left w:val="nil"/>
              <w:bottom w:val="nil"/>
              <w:right w:val="single" w:color="000000" w:sz="16" w:space="0"/>
            </w:tcBorders>
            <w:shd w:val="clear" w:color="auto" w:fill="FFFFFF"/>
            <w:vAlign w:val="center"/>
          </w:tcPr>
          <w:p w14:paraId="1A4C58E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N</w:t>
            </w:r>
          </w:p>
        </w:tc>
        <w:tc>
          <w:tcPr>
            <w:tcW w:w="283" w:type="pct"/>
            <w:tcBorders>
              <w:top w:val="nil"/>
              <w:left w:val="single" w:color="000000" w:sz="16" w:space="0"/>
              <w:bottom w:val="nil"/>
            </w:tcBorders>
            <w:shd w:val="clear" w:color="auto" w:fill="FFFFFF"/>
          </w:tcPr>
          <w:p w14:paraId="6DDDB97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0B273F3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135805B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5BED06E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7053346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0431ABB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5EA963F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298D918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75DEA19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7587689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32F86C5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12BD2E7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025EC28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2D1AA58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right w:val="single" w:color="000000" w:sz="16" w:space="0"/>
            </w:tcBorders>
            <w:shd w:val="clear" w:color="auto" w:fill="FFFFFF"/>
          </w:tcPr>
          <w:p w14:paraId="636AE01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r>
      <w:tr w14:paraId="489A32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06" w:type="pct"/>
            <w:vMerge w:val="restart"/>
            <w:tcBorders>
              <w:top w:val="nil"/>
              <w:left w:val="single" w:color="000000" w:sz="16" w:space="0"/>
              <w:bottom w:val="nil"/>
              <w:right w:val="nil"/>
            </w:tcBorders>
            <w:shd w:val="clear" w:color="auto" w:fill="FFFFFF"/>
            <w:vAlign w:val="center"/>
          </w:tcPr>
          <w:p w14:paraId="0E99D34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Q11.</w:t>
            </w:r>
          </w:p>
        </w:tc>
        <w:tc>
          <w:tcPr>
            <w:tcW w:w="553" w:type="pct"/>
            <w:tcBorders>
              <w:top w:val="nil"/>
              <w:left w:val="nil"/>
              <w:bottom w:val="nil"/>
              <w:right w:val="single" w:color="000000" w:sz="16" w:space="0"/>
            </w:tcBorders>
            <w:shd w:val="clear" w:color="auto" w:fill="FFFFFF"/>
            <w:vAlign w:val="center"/>
          </w:tcPr>
          <w:p w14:paraId="5BE5753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Pearson Correlation</w:t>
            </w:r>
          </w:p>
        </w:tc>
        <w:tc>
          <w:tcPr>
            <w:tcW w:w="283" w:type="pct"/>
            <w:tcBorders>
              <w:top w:val="nil"/>
              <w:left w:val="single" w:color="000000" w:sz="16" w:space="0"/>
              <w:bottom w:val="nil"/>
            </w:tcBorders>
            <w:shd w:val="clear" w:color="auto" w:fill="FFFFFF"/>
          </w:tcPr>
          <w:p w14:paraId="36F663B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.993</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1D26F75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.999</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044265D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.962</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1AEE42C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.976</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0DA9DFE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.964</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537F2FD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.981</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29D0814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.962</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26714B8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.983</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0E28609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.962</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2CA8B44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.993</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35ABE5D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w:t>
            </w:r>
          </w:p>
        </w:tc>
        <w:tc>
          <w:tcPr>
            <w:tcW w:w="283" w:type="pct"/>
            <w:tcBorders>
              <w:top w:val="nil"/>
              <w:bottom w:val="nil"/>
            </w:tcBorders>
            <w:shd w:val="clear" w:color="auto" w:fill="FFFFFF"/>
          </w:tcPr>
          <w:p w14:paraId="23A83D2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.997</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0E5256E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.997</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5DFCB3E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.993</w:t>
            </w:r>
            <w:r>
              <w:rPr>
                <w:rFonts w:ascii="Arial" w:hAnsi="Arial" w:cs="Arial"/>
                <w:color w:val="000000"/>
                <w:sz w:val="18"/>
                <w:szCs w:val="18"/>
                <w:highlight w:val="none"/>
                <w:vertAlign w:val="superscript"/>
                <w:lang w:val="en-US"/>
              </w:rPr>
              <w:t>**</w:t>
            </w:r>
          </w:p>
        </w:tc>
        <w:tc>
          <w:tcPr>
            <w:tcW w:w="283" w:type="pct"/>
            <w:tcBorders>
              <w:top w:val="nil"/>
              <w:bottom w:val="nil"/>
              <w:right w:val="single" w:color="000000" w:sz="16" w:space="0"/>
            </w:tcBorders>
            <w:shd w:val="clear" w:color="auto" w:fill="FFFFFF"/>
          </w:tcPr>
          <w:p w14:paraId="609BB13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.993</w:t>
            </w:r>
            <w:r>
              <w:rPr>
                <w:rFonts w:ascii="Arial" w:hAnsi="Arial" w:cs="Arial"/>
                <w:color w:val="000000"/>
                <w:sz w:val="18"/>
                <w:szCs w:val="18"/>
                <w:highlight w:val="none"/>
                <w:vertAlign w:val="superscript"/>
                <w:lang w:val="en-US"/>
              </w:rPr>
              <w:t>**</w:t>
            </w:r>
          </w:p>
        </w:tc>
      </w:tr>
      <w:tr w14:paraId="7EE474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06" w:type="pct"/>
            <w:vMerge w:val="continue"/>
            <w:tcBorders>
              <w:top w:val="nil"/>
              <w:left w:val="single" w:color="000000" w:sz="16" w:space="0"/>
              <w:bottom w:val="nil"/>
              <w:right w:val="nil"/>
            </w:tcBorders>
            <w:shd w:val="clear" w:color="auto" w:fill="FFFFFF"/>
            <w:vAlign w:val="center"/>
          </w:tcPr>
          <w:p w14:paraId="48434808">
            <w:pPr>
              <w:autoSpaceDE w:val="0"/>
              <w:autoSpaceDN w:val="0"/>
              <w:adjustRightInd w:val="0"/>
              <w:spacing w:after="0" w:line="240" w:lineRule="auto"/>
              <w:jc w:val="center"/>
              <w:rPr>
                <w:rFonts w:ascii="Arial" w:hAnsi="Arial" w:cs="Arial"/>
                <w:color w:val="000000"/>
                <w:sz w:val="18"/>
                <w:szCs w:val="18"/>
                <w:highlight w:val="none"/>
                <w:lang w:val="en-US"/>
              </w:rPr>
            </w:pPr>
          </w:p>
        </w:tc>
        <w:tc>
          <w:tcPr>
            <w:tcW w:w="553" w:type="pct"/>
            <w:tcBorders>
              <w:top w:val="nil"/>
              <w:left w:val="nil"/>
              <w:bottom w:val="nil"/>
              <w:right w:val="single" w:color="000000" w:sz="16" w:space="0"/>
            </w:tcBorders>
            <w:shd w:val="clear" w:color="auto" w:fill="FFFFFF"/>
            <w:vAlign w:val="center"/>
          </w:tcPr>
          <w:p w14:paraId="03E33CF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Sig. (2-tailed)</w:t>
            </w:r>
          </w:p>
        </w:tc>
        <w:tc>
          <w:tcPr>
            <w:tcW w:w="283" w:type="pct"/>
            <w:tcBorders>
              <w:top w:val="nil"/>
              <w:left w:val="single" w:color="000000" w:sz="16" w:space="0"/>
              <w:bottom w:val="nil"/>
            </w:tcBorders>
            <w:shd w:val="clear" w:color="auto" w:fill="FFFFFF"/>
          </w:tcPr>
          <w:p w14:paraId="5A34287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54322AA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12546FD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7F055C8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0A4DA35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18770FD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0287035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30FC8CE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08BFAB8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77A21AB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3D613FD4">
            <w:pPr>
              <w:autoSpaceDE w:val="0"/>
              <w:autoSpaceDN w:val="0"/>
              <w:adjustRightInd w:val="0"/>
              <w:spacing w:after="0" w:line="240" w:lineRule="auto"/>
              <w:jc w:val="center"/>
              <w:rPr>
                <w:rFonts w:cs="Times New Roman"/>
                <w:szCs w:val="24"/>
                <w:highlight w:val="none"/>
                <w:lang w:val="en-US"/>
              </w:rPr>
            </w:pPr>
          </w:p>
        </w:tc>
        <w:tc>
          <w:tcPr>
            <w:tcW w:w="283" w:type="pct"/>
            <w:tcBorders>
              <w:top w:val="nil"/>
              <w:bottom w:val="nil"/>
            </w:tcBorders>
            <w:shd w:val="clear" w:color="auto" w:fill="FFFFFF"/>
          </w:tcPr>
          <w:p w14:paraId="59A7F1F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51B672F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1C9310C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right w:val="single" w:color="000000" w:sz="16" w:space="0"/>
            </w:tcBorders>
            <w:shd w:val="clear" w:color="auto" w:fill="FFFFFF"/>
          </w:tcPr>
          <w:p w14:paraId="1C67AB5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r>
      <w:tr w14:paraId="7BD1C6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06" w:type="pct"/>
            <w:vMerge w:val="continue"/>
            <w:tcBorders>
              <w:top w:val="nil"/>
              <w:left w:val="single" w:color="000000" w:sz="16" w:space="0"/>
              <w:bottom w:val="nil"/>
              <w:right w:val="nil"/>
            </w:tcBorders>
            <w:shd w:val="clear" w:color="auto" w:fill="FFFFFF"/>
            <w:vAlign w:val="center"/>
          </w:tcPr>
          <w:p w14:paraId="6BEBAFDF">
            <w:pPr>
              <w:autoSpaceDE w:val="0"/>
              <w:autoSpaceDN w:val="0"/>
              <w:adjustRightInd w:val="0"/>
              <w:spacing w:after="0" w:line="240" w:lineRule="auto"/>
              <w:jc w:val="center"/>
              <w:rPr>
                <w:rFonts w:ascii="Arial" w:hAnsi="Arial" w:cs="Arial"/>
                <w:color w:val="000000"/>
                <w:sz w:val="18"/>
                <w:szCs w:val="18"/>
                <w:highlight w:val="none"/>
                <w:lang w:val="en-US"/>
              </w:rPr>
            </w:pPr>
          </w:p>
        </w:tc>
        <w:tc>
          <w:tcPr>
            <w:tcW w:w="553" w:type="pct"/>
            <w:tcBorders>
              <w:top w:val="nil"/>
              <w:left w:val="nil"/>
              <w:bottom w:val="nil"/>
              <w:right w:val="single" w:color="000000" w:sz="16" w:space="0"/>
            </w:tcBorders>
            <w:shd w:val="clear" w:color="auto" w:fill="FFFFFF"/>
            <w:vAlign w:val="center"/>
          </w:tcPr>
          <w:p w14:paraId="7CF2B5B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N</w:t>
            </w:r>
          </w:p>
        </w:tc>
        <w:tc>
          <w:tcPr>
            <w:tcW w:w="283" w:type="pct"/>
            <w:tcBorders>
              <w:top w:val="nil"/>
              <w:left w:val="single" w:color="000000" w:sz="16" w:space="0"/>
              <w:bottom w:val="nil"/>
            </w:tcBorders>
            <w:shd w:val="clear" w:color="auto" w:fill="FFFFFF"/>
          </w:tcPr>
          <w:p w14:paraId="085F772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3C4E74F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52D84A1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594BD8B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03D58CD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3A3CEDA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5C1F789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40DE7BE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1DC4350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0227B97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2D8D65E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4926C2B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04B5006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485C8C3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right w:val="single" w:color="000000" w:sz="16" w:space="0"/>
            </w:tcBorders>
            <w:shd w:val="clear" w:color="auto" w:fill="FFFFFF"/>
          </w:tcPr>
          <w:p w14:paraId="6161213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r>
      <w:tr w14:paraId="5EB5A8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06" w:type="pct"/>
            <w:vMerge w:val="restart"/>
            <w:tcBorders>
              <w:top w:val="nil"/>
              <w:left w:val="single" w:color="000000" w:sz="16" w:space="0"/>
              <w:bottom w:val="nil"/>
              <w:right w:val="nil"/>
            </w:tcBorders>
            <w:shd w:val="clear" w:color="auto" w:fill="FFFFFF"/>
            <w:vAlign w:val="center"/>
          </w:tcPr>
          <w:p w14:paraId="5178422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Q12.</w:t>
            </w:r>
          </w:p>
        </w:tc>
        <w:tc>
          <w:tcPr>
            <w:tcW w:w="553" w:type="pct"/>
            <w:tcBorders>
              <w:top w:val="nil"/>
              <w:left w:val="nil"/>
              <w:bottom w:val="nil"/>
              <w:right w:val="single" w:color="000000" w:sz="16" w:space="0"/>
            </w:tcBorders>
            <w:shd w:val="clear" w:color="auto" w:fill="FFFFFF"/>
            <w:vAlign w:val="center"/>
          </w:tcPr>
          <w:p w14:paraId="49CE32C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Pearson Correlation</w:t>
            </w:r>
          </w:p>
        </w:tc>
        <w:tc>
          <w:tcPr>
            <w:tcW w:w="283" w:type="pct"/>
            <w:tcBorders>
              <w:top w:val="nil"/>
              <w:left w:val="single" w:color="000000" w:sz="16" w:space="0"/>
              <w:bottom w:val="nil"/>
            </w:tcBorders>
            <w:shd w:val="clear" w:color="auto" w:fill="FFFFFF"/>
          </w:tcPr>
          <w:p w14:paraId="3EF3C76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.999</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56BA6BF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.993</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7C7D648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.964</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210EB86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.982</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6C0704E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.963</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0CA2541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.982</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220BF2F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.964</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5BE3C6E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.978</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08AD7CD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.964</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15D2B4E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.999</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6E1C21F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.997</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5764646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w:t>
            </w:r>
          </w:p>
        </w:tc>
        <w:tc>
          <w:tcPr>
            <w:tcW w:w="283" w:type="pct"/>
            <w:tcBorders>
              <w:top w:val="nil"/>
              <w:bottom w:val="nil"/>
            </w:tcBorders>
            <w:shd w:val="clear" w:color="auto" w:fill="FFFFFF"/>
          </w:tcPr>
          <w:p w14:paraId="2086249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532223A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.999</w:t>
            </w:r>
            <w:r>
              <w:rPr>
                <w:rFonts w:ascii="Arial" w:hAnsi="Arial" w:cs="Arial"/>
                <w:color w:val="000000"/>
                <w:sz w:val="18"/>
                <w:szCs w:val="18"/>
                <w:highlight w:val="none"/>
                <w:vertAlign w:val="superscript"/>
                <w:lang w:val="en-US"/>
              </w:rPr>
              <w:t>**</w:t>
            </w:r>
          </w:p>
        </w:tc>
        <w:tc>
          <w:tcPr>
            <w:tcW w:w="283" w:type="pct"/>
            <w:tcBorders>
              <w:top w:val="nil"/>
              <w:bottom w:val="nil"/>
              <w:right w:val="single" w:color="000000" w:sz="16" w:space="0"/>
            </w:tcBorders>
            <w:shd w:val="clear" w:color="auto" w:fill="FFFFFF"/>
          </w:tcPr>
          <w:p w14:paraId="5111658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.999</w:t>
            </w:r>
            <w:r>
              <w:rPr>
                <w:rFonts w:ascii="Arial" w:hAnsi="Arial" w:cs="Arial"/>
                <w:color w:val="000000"/>
                <w:sz w:val="18"/>
                <w:szCs w:val="18"/>
                <w:highlight w:val="none"/>
                <w:vertAlign w:val="superscript"/>
                <w:lang w:val="en-US"/>
              </w:rPr>
              <w:t>**</w:t>
            </w:r>
          </w:p>
        </w:tc>
      </w:tr>
      <w:tr w14:paraId="09F6CA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06" w:type="pct"/>
            <w:vMerge w:val="continue"/>
            <w:tcBorders>
              <w:top w:val="nil"/>
              <w:left w:val="single" w:color="000000" w:sz="16" w:space="0"/>
              <w:bottom w:val="nil"/>
              <w:right w:val="nil"/>
            </w:tcBorders>
            <w:shd w:val="clear" w:color="auto" w:fill="FFFFFF"/>
            <w:vAlign w:val="center"/>
          </w:tcPr>
          <w:p w14:paraId="425008A5">
            <w:pPr>
              <w:autoSpaceDE w:val="0"/>
              <w:autoSpaceDN w:val="0"/>
              <w:adjustRightInd w:val="0"/>
              <w:spacing w:after="0" w:line="240" w:lineRule="auto"/>
              <w:jc w:val="center"/>
              <w:rPr>
                <w:rFonts w:ascii="Arial" w:hAnsi="Arial" w:cs="Arial"/>
                <w:color w:val="000000"/>
                <w:sz w:val="18"/>
                <w:szCs w:val="18"/>
                <w:highlight w:val="none"/>
                <w:lang w:val="en-US"/>
              </w:rPr>
            </w:pPr>
          </w:p>
        </w:tc>
        <w:tc>
          <w:tcPr>
            <w:tcW w:w="553" w:type="pct"/>
            <w:tcBorders>
              <w:top w:val="nil"/>
              <w:left w:val="nil"/>
              <w:bottom w:val="nil"/>
              <w:right w:val="single" w:color="000000" w:sz="16" w:space="0"/>
            </w:tcBorders>
            <w:shd w:val="clear" w:color="auto" w:fill="FFFFFF"/>
            <w:vAlign w:val="center"/>
          </w:tcPr>
          <w:p w14:paraId="3A8E0B5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Sig. (2-tailed)</w:t>
            </w:r>
          </w:p>
        </w:tc>
        <w:tc>
          <w:tcPr>
            <w:tcW w:w="283" w:type="pct"/>
            <w:tcBorders>
              <w:top w:val="nil"/>
              <w:left w:val="single" w:color="000000" w:sz="16" w:space="0"/>
              <w:bottom w:val="nil"/>
            </w:tcBorders>
            <w:shd w:val="clear" w:color="auto" w:fill="FFFFFF"/>
          </w:tcPr>
          <w:p w14:paraId="2B65C3E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35BA96F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133089F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62CAD5B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2209918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06734A5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65EBBF0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0333BC5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73C217B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336C459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3B2A9E1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23723FB1">
            <w:pPr>
              <w:autoSpaceDE w:val="0"/>
              <w:autoSpaceDN w:val="0"/>
              <w:adjustRightInd w:val="0"/>
              <w:spacing w:after="0" w:line="240" w:lineRule="auto"/>
              <w:jc w:val="center"/>
              <w:rPr>
                <w:rFonts w:cs="Times New Roman"/>
                <w:szCs w:val="24"/>
                <w:highlight w:val="none"/>
                <w:lang w:val="en-US"/>
              </w:rPr>
            </w:pPr>
          </w:p>
        </w:tc>
        <w:tc>
          <w:tcPr>
            <w:tcW w:w="283" w:type="pct"/>
            <w:tcBorders>
              <w:top w:val="nil"/>
              <w:bottom w:val="nil"/>
            </w:tcBorders>
            <w:shd w:val="clear" w:color="auto" w:fill="FFFFFF"/>
          </w:tcPr>
          <w:p w14:paraId="042AB51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756BE1B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right w:val="single" w:color="000000" w:sz="16" w:space="0"/>
            </w:tcBorders>
            <w:shd w:val="clear" w:color="auto" w:fill="FFFFFF"/>
          </w:tcPr>
          <w:p w14:paraId="407C869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r>
      <w:tr w14:paraId="008FCC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06" w:type="pct"/>
            <w:vMerge w:val="continue"/>
            <w:tcBorders>
              <w:top w:val="nil"/>
              <w:left w:val="single" w:color="000000" w:sz="16" w:space="0"/>
              <w:bottom w:val="nil"/>
              <w:right w:val="nil"/>
            </w:tcBorders>
            <w:shd w:val="clear" w:color="auto" w:fill="FFFFFF"/>
            <w:vAlign w:val="center"/>
          </w:tcPr>
          <w:p w14:paraId="2E9A2A95">
            <w:pPr>
              <w:autoSpaceDE w:val="0"/>
              <w:autoSpaceDN w:val="0"/>
              <w:adjustRightInd w:val="0"/>
              <w:spacing w:after="0" w:line="240" w:lineRule="auto"/>
              <w:jc w:val="center"/>
              <w:rPr>
                <w:rFonts w:ascii="Arial" w:hAnsi="Arial" w:cs="Arial"/>
                <w:color w:val="000000"/>
                <w:sz w:val="18"/>
                <w:szCs w:val="18"/>
                <w:highlight w:val="none"/>
                <w:lang w:val="en-US"/>
              </w:rPr>
            </w:pPr>
          </w:p>
        </w:tc>
        <w:tc>
          <w:tcPr>
            <w:tcW w:w="553" w:type="pct"/>
            <w:tcBorders>
              <w:top w:val="nil"/>
              <w:left w:val="nil"/>
              <w:bottom w:val="nil"/>
              <w:right w:val="single" w:color="000000" w:sz="16" w:space="0"/>
            </w:tcBorders>
            <w:shd w:val="clear" w:color="auto" w:fill="FFFFFF"/>
            <w:vAlign w:val="center"/>
          </w:tcPr>
          <w:p w14:paraId="7E46A81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N</w:t>
            </w:r>
          </w:p>
        </w:tc>
        <w:tc>
          <w:tcPr>
            <w:tcW w:w="283" w:type="pct"/>
            <w:tcBorders>
              <w:top w:val="nil"/>
              <w:left w:val="single" w:color="000000" w:sz="16" w:space="0"/>
              <w:bottom w:val="nil"/>
            </w:tcBorders>
            <w:shd w:val="clear" w:color="auto" w:fill="FFFFFF"/>
          </w:tcPr>
          <w:p w14:paraId="3101409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7A55888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0CDF83E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7999F34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1579B75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2661FD5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1EDCE21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7E2C819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33B5D09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78F27D3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0D3533B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1D01121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288</w:t>
            </w:r>
          </w:p>
        </w:tc>
        <w:tc>
          <w:tcPr>
            <w:tcW w:w="283" w:type="pct"/>
            <w:tcBorders>
              <w:top w:val="nil"/>
              <w:bottom w:val="nil"/>
            </w:tcBorders>
            <w:shd w:val="clear" w:color="auto" w:fill="FFFFFF"/>
          </w:tcPr>
          <w:p w14:paraId="40C5775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3C3936B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right w:val="single" w:color="000000" w:sz="16" w:space="0"/>
            </w:tcBorders>
            <w:shd w:val="clear" w:color="auto" w:fill="FFFFFF"/>
          </w:tcPr>
          <w:p w14:paraId="3BF5FF6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r>
      <w:tr w14:paraId="51E8E3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06" w:type="pct"/>
            <w:vMerge w:val="restart"/>
            <w:tcBorders>
              <w:top w:val="nil"/>
              <w:left w:val="single" w:color="000000" w:sz="16" w:space="0"/>
              <w:bottom w:val="nil"/>
              <w:right w:val="nil"/>
            </w:tcBorders>
            <w:shd w:val="clear" w:color="auto" w:fill="FFFFFF"/>
            <w:vAlign w:val="center"/>
          </w:tcPr>
          <w:p w14:paraId="10CB51E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Q13.</w:t>
            </w:r>
          </w:p>
        </w:tc>
        <w:tc>
          <w:tcPr>
            <w:tcW w:w="553" w:type="pct"/>
            <w:tcBorders>
              <w:top w:val="nil"/>
              <w:left w:val="nil"/>
              <w:bottom w:val="nil"/>
              <w:right w:val="single" w:color="000000" w:sz="16" w:space="0"/>
            </w:tcBorders>
            <w:shd w:val="clear" w:color="auto" w:fill="FFFFFF"/>
            <w:vAlign w:val="center"/>
          </w:tcPr>
          <w:p w14:paraId="1E4DB51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Pearson Correlation</w:t>
            </w:r>
          </w:p>
        </w:tc>
        <w:tc>
          <w:tcPr>
            <w:tcW w:w="283" w:type="pct"/>
            <w:tcBorders>
              <w:top w:val="nil"/>
              <w:left w:val="single" w:color="000000" w:sz="16" w:space="0"/>
              <w:bottom w:val="nil"/>
            </w:tcBorders>
            <w:shd w:val="clear" w:color="auto" w:fill="FFFFFF"/>
          </w:tcPr>
          <w:p w14:paraId="1A72174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.999</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63F9F1C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.993</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58CB16C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.964</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3EC6100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.982</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2704AA4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.963</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1EB14BD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.982</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5F69427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.964</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29A5425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.978</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4DAC472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.964</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7125395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.999</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79D4901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.997</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6B38728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7102D0D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w:t>
            </w:r>
          </w:p>
        </w:tc>
        <w:tc>
          <w:tcPr>
            <w:tcW w:w="283" w:type="pct"/>
            <w:tcBorders>
              <w:top w:val="nil"/>
              <w:bottom w:val="nil"/>
            </w:tcBorders>
            <w:shd w:val="clear" w:color="auto" w:fill="FFFFFF"/>
          </w:tcPr>
          <w:p w14:paraId="5E6C904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.999</w:t>
            </w:r>
            <w:r>
              <w:rPr>
                <w:rFonts w:ascii="Arial" w:hAnsi="Arial" w:cs="Arial"/>
                <w:color w:val="000000"/>
                <w:sz w:val="18"/>
                <w:szCs w:val="18"/>
                <w:highlight w:val="none"/>
                <w:vertAlign w:val="superscript"/>
                <w:lang w:val="en-US"/>
              </w:rPr>
              <w:t>**</w:t>
            </w:r>
          </w:p>
        </w:tc>
        <w:tc>
          <w:tcPr>
            <w:tcW w:w="283" w:type="pct"/>
            <w:tcBorders>
              <w:top w:val="nil"/>
              <w:bottom w:val="nil"/>
              <w:right w:val="single" w:color="000000" w:sz="16" w:space="0"/>
            </w:tcBorders>
            <w:shd w:val="clear" w:color="auto" w:fill="FFFFFF"/>
          </w:tcPr>
          <w:p w14:paraId="57F3A29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.999</w:t>
            </w:r>
            <w:r>
              <w:rPr>
                <w:rFonts w:ascii="Arial" w:hAnsi="Arial" w:cs="Arial"/>
                <w:color w:val="000000"/>
                <w:sz w:val="18"/>
                <w:szCs w:val="18"/>
                <w:highlight w:val="none"/>
                <w:vertAlign w:val="superscript"/>
                <w:lang w:val="en-US"/>
              </w:rPr>
              <w:t>**</w:t>
            </w:r>
          </w:p>
        </w:tc>
      </w:tr>
      <w:tr w14:paraId="116FFF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06" w:type="pct"/>
            <w:vMerge w:val="continue"/>
            <w:tcBorders>
              <w:top w:val="nil"/>
              <w:left w:val="single" w:color="000000" w:sz="16" w:space="0"/>
              <w:bottom w:val="nil"/>
              <w:right w:val="nil"/>
            </w:tcBorders>
            <w:shd w:val="clear" w:color="auto" w:fill="FFFFFF"/>
            <w:vAlign w:val="center"/>
          </w:tcPr>
          <w:p w14:paraId="47DC10D6">
            <w:pPr>
              <w:autoSpaceDE w:val="0"/>
              <w:autoSpaceDN w:val="0"/>
              <w:adjustRightInd w:val="0"/>
              <w:spacing w:after="0" w:line="240" w:lineRule="auto"/>
              <w:jc w:val="center"/>
              <w:rPr>
                <w:rFonts w:ascii="Arial" w:hAnsi="Arial" w:cs="Arial"/>
                <w:color w:val="000000"/>
                <w:sz w:val="18"/>
                <w:szCs w:val="18"/>
                <w:highlight w:val="none"/>
                <w:lang w:val="en-US"/>
              </w:rPr>
            </w:pPr>
          </w:p>
        </w:tc>
        <w:tc>
          <w:tcPr>
            <w:tcW w:w="553" w:type="pct"/>
            <w:tcBorders>
              <w:top w:val="nil"/>
              <w:left w:val="nil"/>
              <w:bottom w:val="nil"/>
              <w:right w:val="single" w:color="000000" w:sz="16" w:space="0"/>
            </w:tcBorders>
            <w:shd w:val="clear" w:color="auto" w:fill="FFFFFF"/>
            <w:vAlign w:val="center"/>
          </w:tcPr>
          <w:p w14:paraId="1E84FA0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Sig. (2-tailed)</w:t>
            </w:r>
          </w:p>
        </w:tc>
        <w:tc>
          <w:tcPr>
            <w:tcW w:w="283" w:type="pct"/>
            <w:tcBorders>
              <w:top w:val="nil"/>
              <w:left w:val="single" w:color="000000" w:sz="16" w:space="0"/>
              <w:bottom w:val="nil"/>
            </w:tcBorders>
            <w:shd w:val="clear" w:color="auto" w:fill="FFFFFF"/>
          </w:tcPr>
          <w:p w14:paraId="692E53E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6D6DAD1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4C91480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6480C96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7414E28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71C7487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0C9C815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1677680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05ACBA7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6EB6445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1626DE7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4472ECF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513B696C">
            <w:pPr>
              <w:autoSpaceDE w:val="0"/>
              <w:autoSpaceDN w:val="0"/>
              <w:adjustRightInd w:val="0"/>
              <w:spacing w:after="0" w:line="240" w:lineRule="auto"/>
              <w:jc w:val="center"/>
              <w:rPr>
                <w:rFonts w:cs="Times New Roman"/>
                <w:szCs w:val="24"/>
                <w:highlight w:val="none"/>
                <w:lang w:val="en-US"/>
              </w:rPr>
            </w:pPr>
          </w:p>
        </w:tc>
        <w:tc>
          <w:tcPr>
            <w:tcW w:w="283" w:type="pct"/>
            <w:tcBorders>
              <w:top w:val="nil"/>
              <w:bottom w:val="nil"/>
            </w:tcBorders>
            <w:shd w:val="clear" w:color="auto" w:fill="FFFFFF"/>
          </w:tcPr>
          <w:p w14:paraId="0958EBC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right w:val="single" w:color="000000" w:sz="16" w:space="0"/>
            </w:tcBorders>
            <w:shd w:val="clear" w:color="auto" w:fill="FFFFFF"/>
          </w:tcPr>
          <w:p w14:paraId="1C84814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r>
      <w:tr w14:paraId="5685E0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06" w:type="pct"/>
            <w:vMerge w:val="continue"/>
            <w:tcBorders>
              <w:top w:val="nil"/>
              <w:left w:val="single" w:color="000000" w:sz="16" w:space="0"/>
              <w:bottom w:val="nil"/>
              <w:right w:val="nil"/>
            </w:tcBorders>
            <w:shd w:val="clear" w:color="auto" w:fill="FFFFFF"/>
            <w:vAlign w:val="center"/>
          </w:tcPr>
          <w:p w14:paraId="28C61072">
            <w:pPr>
              <w:autoSpaceDE w:val="0"/>
              <w:autoSpaceDN w:val="0"/>
              <w:adjustRightInd w:val="0"/>
              <w:spacing w:after="0" w:line="240" w:lineRule="auto"/>
              <w:jc w:val="center"/>
              <w:rPr>
                <w:rFonts w:ascii="Arial" w:hAnsi="Arial" w:cs="Arial"/>
                <w:color w:val="000000"/>
                <w:sz w:val="18"/>
                <w:szCs w:val="18"/>
                <w:highlight w:val="none"/>
                <w:lang w:val="en-US"/>
              </w:rPr>
            </w:pPr>
          </w:p>
        </w:tc>
        <w:tc>
          <w:tcPr>
            <w:tcW w:w="553" w:type="pct"/>
            <w:tcBorders>
              <w:top w:val="nil"/>
              <w:left w:val="nil"/>
              <w:bottom w:val="nil"/>
              <w:right w:val="single" w:color="000000" w:sz="16" w:space="0"/>
            </w:tcBorders>
            <w:shd w:val="clear" w:color="auto" w:fill="FFFFFF"/>
            <w:vAlign w:val="center"/>
          </w:tcPr>
          <w:p w14:paraId="148C6EE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N</w:t>
            </w:r>
          </w:p>
        </w:tc>
        <w:tc>
          <w:tcPr>
            <w:tcW w:w="283" w:type="pct"/>
            <w:tcBorders>
              <w:top w:val="nil"/>
              <w:left w:val="single" w:color="000000" w:sz="16" w:space="0"/>
              <w:bottom w:val="nil"/>
            </w:tcBorders>
            <w:shd w:val="clear" w:color="auto" w:fill="FFFFFF"/>
          </w:tcPr>
          <w:p w14:paraId="6168D55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1D51938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040C124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13A4B7B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561C15A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79DB5C9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1C149D5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1FFE834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2CC967E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01E5E53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2A1E00B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120EEE1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4374211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7725A6C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right w:val="single" w:color="000000" w:sz="16" w:space="0"/>
            </w:tcBorders>
            <w:shd w:val="clear" w:color="auto" w:fill="FFFFFF"/>
          </w:tcPr>
          <w:p w14:paraId="13BFAB4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r>
      <w:tr w14:paraId="42E72D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06" w:type="pct"/>
            <w:vMerge w:val="restart"/>
            <w:tcBorders>
              <w:top w:val="nil"/>
              <w:left w:val="single" w:color="000000" w:sz="16" w:space="0"/>
              <w:bottom w:val="nil"/>
              <w:right w:val="nil"/>
            </w:tcBorders>
            <w:shd w:val="clear" w:color="auto" w:fill="FFFFFF"/>
            <w:vAlign w:val="center"/>
          </w:tcPr>
          <w:p w14:paraId="579A062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Q14.</w:t>
            </w:r>
          </w:p>
        </w:tc>
        <w:tc>
          <w:tcPr>
            <w:tcW w:w="553" w:type="pct"/>
            <w:tcBorders>
              <w:top w:val="nil"/>
              <w:left w:val="nil"/>
              <w:bottom w:val="nil"/>
              <w:right w:val="single" w:color="000000" w:sz="16" w:space="0"/>
            </w:tcBorders>
            <w:shd w:val="clear" w:color="auto" w:fill="FFFFFF"/>
            <w:vAlign w:val="center"/>
          </w:tcPr>
          <w:p w14:paraId="4C6C7A4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Pearson Correlation</w:t>
            </w:r>
          </w:p>
        </w:tc>
        <w:tc>
          <w:tcPr>
            <w:tcW w:w="283" w:type="pct"/>
            <w:tcBorders>
              <w:top w:val="nil"/>
              <w:left w:val="single" w:color="000000" w:sz="16" w:space="0"/>
              <w:bottom w:val="nil"/>
            </w:tcBorders>
            <w:shd w:val="clear" w:color="auto" w:fill="FFFFFF"/>
          </w:tcPr>
          <w:p w14:paraId="0F108C8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009BC8C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.987</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2140FD5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.963</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3EDBDDB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.983</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75DA055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.960</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4DC9477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.980</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3B6F077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.963</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0DB104F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.974</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4031372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.963</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3D5504E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7BE6B2E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.993</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20E42B3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.999</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74DDD22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.999</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7A0A2E5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w:t>
            </w:r>
          </w:p>
        </w:tc>
        <w:tc>
          <w:tcPr>
            <w:tcW w:w="283" w:type="pct"/>
            <w:tcBorders>
              <w:top w:val="nil"/>
              <w:bottom w:val="nil"/>
              <w:right w:val="single" w:color="000000" w:sz="16" w:space="0"/>
            </w:tcBorders>
            <w:shd w:val="clear" w:color="auto" w:fill="FFFFFF"/>
          </w:tcPr>
          <w:p w14:paraId="39C41BE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r>
              <w:rPr>
                <w:rFonts w:ascii="Arial" w:hAnsi="Arial" w:cs="Arial"/>
                <w:color w:val="000000"/>
                <w:sz w:val="18"/>
                <w:szCs w:val="18"/>
                <w:highlight w:val="none"/>
                <w:vertAlign w:val="superscript"/>
                <w:lang w:val="en-US"/>
              </w:rPr>
              <w:t>**</w:t>
            </w:r>
          </w:p>
        </w:tc>
      </w:tr>
      <w:tr w14:paraId="4279A0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06" w:type="pct"/>
            <w:vMerge w:val="continue"/>
            <w:tcBorders>
              <w:top w:val="nil"/>
              <w:left w:val="single" w:color="000000" w:sz="16" w:space="0"/>
              <w:bottom w:val="nil"/>
              <w:right w:val="nil"/>
            </w:tcBorders>
            <w:shd w:val="clear" w:color="auto" w:fill="FFFFFF"/>
            <w:vAlign w:val="center"/>
          </w:tcPr>
          <w:p w14:paraId="51713577">
            <w:pPr>
              <w:autoSpaceDE w:val="0"/>
              <w:autoSpaceDN w:val="0"/>
              <w:adjustRightInd w:val="0"/>
              <w:spacing w:after="0" w:line="240" w:lineRule="auto"/>
              <w:jc w:val="center"/>
              <w:rPr>
                <w:rFonts w:ascii="Arial" w:hAnsi="Arial" w:cs="Arial"/>
                <w:color w:val="000000"/>
                <w:sz w:val="18"/>
                <w:szCs w:val="18"/>
                <w:highlight w:val="none"/>
                <w:lang w:val="en-US"/>
              </w:rPr>
            </w:pPr>
          </w:p>
        </w:tc>
        <w:tc>
          <w:tcPr>
            <w:tcW w:w="553" w:type="pct"/>
            <w:tcBorders>
              <w:top w:val="nil"/>
              <w:left w:val="nil"/>
              <w:bottom w:val="nil"/>
              <w:right w:val="single" w:color="000000" w:sz="16" w:space="0"/>
            </w:tcBorders>
            <w:shd w:val="clear" w:color="auto" w:fill="FFFFFF"/>
            <w:vAlign w:val="center"/>
          </w:tcPr>
          <w:p w14:paraId="2CCDC3E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Sig. (2-tailed)</w:t>
            </w:r>
          </w:p>
        </w:tc>
        <w:tc>
          <w:tcPr>
            <w:tcW w:w="283" w:type="pct"/>
            <w:tcBorders>
              <w:top w:val="nil"/>
              <w:left w:val="single" w:color="000000" w:sz="16" w:space="0"/>
              <w:bottom w:val="nil"/>
            </w:tcBorders>
            <w:shd w:val="clear" w:color="auto" w:fill="FFFFFF"/>
          </w:tcPr>
          <w:p w14:paraId="2782A69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335002C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27680AD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6B48F1D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37B8C7B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1B6EE82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6E23073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0748F5E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7CD0985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2024801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6D30B7D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2D20622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00516E1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0144983B">
            <w:pPr>
              <w:autoSpaceDE w:val="0"/>
              <w:autoSpaceDN w:val="0"/>
              <w:adjustRightInd w:val="0"/>
              <w:spacing w:after="0" w:line="240" w:lineRule="auto"/>
              <w:jc w:val="center"/>
              <w:rPr>
                <w:rFonts w:cs="Times New Roman"/>
                <w:szCs w:val="24"/>
                <w:highlight w:val="none"/>
                <w:lang w:val="en-US"/>
              </w:rPr>
            </w:pPr>
          </w:p>
        </w:tc>
        <w:tc>
          <w:tcPr>
            <w:tcW w:w="283" w:type="pct"/>
            <w:tcBorders>
              <w:top w:val="nil"/>
              <w:bottom w:val="nil"/>
              <w:right w:val="single" w:color="000000" w:sz="16" w:space="0"/>
            </w:tcBorders>
            <w:shd w:val="clear" w:color="auto" w:fill="FFFFFF"/>
          </w:tcPr>
          <w:p w14:paraId="612A695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r>
      <w:tr w14:paraId="4A6A48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06" w:type="pct"/>
            <w:vMerge w:val="continue"/>
            <w:tcBorders>
              <w:top w:val="nil"/>
              <w:left w:val="single" w:color="000000" w:sz="16" w:space="0"/>
              <w:bottom w:val="nil"/>
              <w:right w:val="nil"/>
            </w:tcBorders>
            <w:shd w:val="clear" w:color="auto" w:fill="FFFFFF"/>
            <w:vAlign w:val="center"/>
          </w:tcPr>
          <w:p w14:paraId="035FBC6D">
            <w:pPr>
              <w:autoSpaceDE w:val="0"/>
              <w:autoSpaceDN w:val="0"/>
              <w:adjustRightInd w:val="0"/>
              <w:spacing w:after="0" w:line="240" w:lineRule="auto"/>
              <w:jc w:val="center"/>
              <w:rPr>
                <w:rFonts w:ascii="Arial" w:hAnsi="Arial" w:cs="Arial"/>
                <w:color w:val="000000"/>
                <w:sz w:val="18"/>
                <w:szCs w:val="18"/>
                <w:highlight w:val="none"/>
                <w:lang w:val="en-US"/>
              </w:rPr>
            </w:pPr>
          </w:p>
        </w:tc>
        <w:tc>
          <w:tcPr>
            <w:tcW w:w="553" w:type="pct"/>
            <w:tcBorders>
              <w:top w:val="nil"/>
              <w:left w:val="nil"/>
              <w:bottom w:val="nil"/>
              <w:right w:val="single" w:color="000000" w:sz="16" w:space="0"/>
            </w:tcBorders>
            <w:shd w:val="clear" w:color="auto" w:fill="FFFFFF"/>
            <w:vAlign w:val="center"/>
          </w:tcPr>
          <w:p w14:paraId="05BC064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N</w:t>
            </w:r>
          </w:p>
        </w:tc>
        <w:tc>
          <w:tcPr>
            <w:tcW w:w="283" w:type="pct"/>
            <w:tcBorders>
              <w:top w:val="nil"/>
              <w:left w:val="single" w:color="000000" w:sz="16" w:space="0"/>
              <w:bottom w:val="nil"/>
            </w:tcBorders>
            <w:shd w:val="clear" w:color="auto" w:fill="FFFFFF"/>
          </w:tcPr>
          <w:p w14:paraId="6635D8F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0DE4E61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356C490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322D8FE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4C0DDCA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23C18F8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48D6BA6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7FE8089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36BE719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6FC00A8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5FAD443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0162FB5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4863419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tcBorders>
            <w:shd w:val="clear" w:color="auto" w:fill="FFFFFF"/>
          </w:tcPr>
          <w:p w14:paraId="57748CB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nil"/>
              <w:right w:val="single" w:color="000000" w:sz="16" w:space="0"/>
            </w:tcBorders>
            <w:shd w:val="clear" w:color="auto" w:fill="FFFFFF"/>
          </w:tcPr>
          <w:p w14:paraId="4FAAEA8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r>
      <w:tr w14:paraId="7C5EA0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06" w:type="pct"/>
            <w:vMerge w:val="restart"/>
            <w:tcBorders>
              <w:top w:val="nil"/>
              <w:left w:val="single" w:color="000000" w:sz="16" w:space="0"/>
              <w:bottom w:val="single" w:color="000000" w:sz="16" w:space="0"/>
              <w:right w:val="nil"/>
            </w:tcBorders>
            <w:shd w:val="clear" w:color="auto" w:fill="FFFFFF"/>
            <w:vAlign w:val="center"/>
          </w:tcPr>
          <w:p w14:paraId="16EB4C9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Q15.</w:t>
            </w:r>
          </w:p>
        </w:tc>
        <w:tc>
          <w:tcPr>
            <w:tcW w:w="553" w:type="pct"/>
            <w:tcBorders>
              <w:top w:val="nil"/>
              <w:left w:val="nil"/>
              <w:bottom w:val="nil"/>
              <w:right w:val="single" w:color="000000" w:sz="16" w:space="0"/>
            </w:tcBorders>
            <w:shd w:val="clear" w:color="auto" w:fill="FFFFFF"/>
            <w:vAlign w:val="center"/>
          </w:tcPr>
          <w:p w14:paraId="6304585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Pearson Correlation</w:t>
            </w:r>
          </w:p>
        </w:tc>
        <w:tc>
          <w:tcPr>
            <w:tcW w:w="283" w:type="pct"/>
            <w:tcBorders>
              <w:top w:val="nil"/>
              <w:left w:val="single" w:color="000000" w:sz="16" w:space="0"/>
              <w:bottom w:val="nil"/>
            </w:tcBorders>
            <w:shd w:val="clear" w:color="auto" w:fill="FFFFFF"/>
          </w:tcPr>
          <w:p w14:paraId="04AD574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66051C1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.987</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128FF40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.963</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4B21FF4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.983</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3E42CCD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.960</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7EE2F15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.980</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6BE283D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.963</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06512FF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.974</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3B17469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.963</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68F960C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4765324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.993</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31ACC8D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.999</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4C1E95B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.999</w:t>
            </w:r>
            <w:r>
              <w:rPr>
                <w:rFonts w:ascii="Arial" w:hAnsi="Arial" w:cs="Arial"/>
                <w:color w:val="000000"/>
                <w:sz w:val="18"/>
                <w:szCs w:val="18"/>
                <w:highlight w:val="none"/>
                <w:vertAlign w:val="superscript"/>
                <w:lang w:val="en-US"/>
              </w:rPr>
              <w:t>**</w:t>
            </w:r>
          </w:p>
        </w:tc>
        <w:tc>
          <w:tcPr>
            <w:tcW w:w="283" w:type="pct"/>
            <w:tcBorders>
              <w:top w:val="nil"/>
              <w:bottom w:val="nil"/>
            </w:tcBorders>
            <w:shd w:val="clear" w:color="auto" w:fill="FFFFFF"/>
          </w:tcPr>
          <w:p w14:paraId="406C263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r>
              <w:rPr>
                <w:rFonts w:ascii="Arial" w:hAnsi="Arial" w:cs="Arial"/>
                <w:color w:val="000000"/>
                <w:sz w:val="18"/>
                <w:szCs w:val="18"/>
                <w:highlight w:val="none"/>
                <w:vertAlign w:val="superscript"/>
                <w:lang w:val="en-US"/>
              </w:rPr>
              <w:t>**</w:t>
            </w:r>
          </w:p>
        </w:tc>
        <w:tc>
          <w:tcPr>
            <w:tcW w:w="283" w:type="pct"/>
            <w:tcBorders>
              <w:top w:val="nil"/>
              <w:bottom w:val="nil"/>
              <w:right w:val="single" w:color="000000" w:sz="16" w:space="0"/>
            </w:tcBorders>
            <w:shd w:val="clear" w:color="auto" w:fill="FFFFFF"/>
          </w:tcPr>
          <w:p w14:paraId="17A44A7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w:t>
            </w:r>
          </w:p>
        </w:tc>
      </w:tr>
      <w:tr w14:paraId="79195F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06" w:type="pct"/>
            <w:vMerge w:val="continue"/>
            <w:tcBorders>
              <w:top w:val="nil"/>
              <w:left w:val="single" w:color="000000" w:sz="16" w:space="0"/>
              <w:bottom w:val="single" w:color="000000" w:sz="16" w:space="0"/>
              <w:right w:val="nil"/>
            </w:tcBorders>
            <w:shd w:val="clear" w:color="auto" w:fill="FFFFFF"/>
            <w:vAlign w:val="center"/>
          </w:tcPr>
          <w:p w14:paraId="323B15A9">
            <w:pPr>
              <w:autoSpaceDE w:val="0"/>
              <w:autoSpaceDN w:val="0"/>
              <w:adjustRightInd w:val="0"/>
              <w:spacing w:after="0" w:line="240" w:lineRule="auto"/>
              <w:jc w:val="center"/>
              <w:rPr>
                <w:rFonts w:ascii="Arial" w:hAnsi="Arial" w:cs="Arial"/>
                <w:color w:val="000000"/>
                <w:sz w:val="18"/>
                <w:szCs w:val="18"/>
                <w:highlight w:val="none"/>
                <w:lang w:val="en-US"/>
              </w:rPr>
            </w:pPr>
          </w:p>
        </w:tc>
        <w:tc>
          <w:tcPr>
            <w:tcW w:w="553" w:type="pct"/>
            <w:tcBorders>
              <w:top w:val="nil"/>
              <w:left w:val="nil"/>
              <w:bottom w:val="nil"/>
              <w:right w:val="single" w:color="000000" w:sz="16" w:space="0"/>
            </w:tcBorders>
            <w:shd w:val="clear" w:color="auto" w:fill="FFFFFF"/>
            <w:vAlign w:val="center"/>
          </w:tcPr>
          <w:p w14:paraId="4EC67A8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Sig. (2-tailed)</w:t>
            </w:r>
          </w:p>
        </w:tc>
        <w:tc>
          <w:tcPr>
            <w:tcW w:w="283" w:type="pct"/>
            <w:tcBorders>
              <w:top w:val="nil"/>
              <w:left w:val="single" w:color="000000" w:sz="16" w:space="0"/>
              <w:bottom w:val="nil"/>
            </w:tcBorders>
            <w:shd w:val="clear" w:color="auto" w:fill="FFFFFF"/>
          </w:tcPr>
          <w:p w14:paraId="5D31848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62C8905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245A585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7D60C21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310400B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22BC84A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71D611A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3E4A1CE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7B859D6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39D107D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31AD70B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671CAEA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0084D3D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tcBorders>
            <w:shd w:val="clear" w:color="auto" w:fill="FFFFFF"/>
          </w:tcPr>
          <w:p w14:paraId="6E0C121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283" w:type="pct"/>
            <w:tcBorders>
              <w:top w:val="nil"/>
              <w:bottom w:val="nil"/>
              <w:right w:val="single" w:color="000000" w:sz="16" w:space="0"/>
            </w:tcBorders>
            <w:shd w:val="clear" w:color="auto" w:fill="FFFFFF"/>
          </w:tcPr>
          <w:p w14:paraId="3976F829">
            <w:pPr>
              <w:autoSpaceDE w:val="0"/>
              <w:autoSpaceDN w:val="0"/>
              <w:adjustRightInd w:val="0"/>
              <w:spacing w:after="0" w:line="240" w:lineRule="auto"/>
              <w:jc w:val="center"/>
              <w:rPr>
                <w:rFonts w:cs="Times New Roman"/>
                <w:szCs w:val="24"/>
                <w:highlight w:val="none"/>
                <w:lang w:val="en-US"/>
              </w:rPr>
            </w:pPr>
          </w:p>
        </w:tc>
      </w:tr>
      <w:tr w14:paraId="1609D4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06" w:type="pct"/>
            <w:vMerge w:val="continue"/>
            <w:tcBorders>
              <w:top w:val="nil"/>
              <w:left w:val="single" w:color="000000" w:sz="16" w:space="0"/>
              <w:bottom w:val="single" w:color="000000" w:sz="16" w:space="0"/>
              <w:right w:val="nil"/>
            </w:tcBorders>
            <w:shd w:val="clear" w:color="auto" w:fill="FFFFFF"/>
            <w:vAlign w:val="center"/>
          </w:tcPr>
          <w:p w14:paraId="43D05056">
            <w:pPr>
              <w:autoSpaceDE w:val="0"/>
              <w:autoSpaceDN w:val="0"/>
              <w:adjustRightInd w:val="0"/>
              <w:spacing w:after="0" w:line="240" w:lineRule="auto"/>
              <w:jc w:val="center"/>
              <w:rPr>
                <w:rFonts w:cs="Times New Roman"/>
                <w:szCs w:val="24"/>
                <w:highlight w:val="none"/>
                <w:lang w:val="en-US"/>
              </w:rPr>
            </w:pPr>
          </w:p>
        </w:tc>
        <w:tc>
          <w:tcPr>
            <w:tcW w:w="553" w:type="pct"/>
            <w:tcBorders>
              <w:top w:val="nil"/>
              <w:left w:val="nil"/>
              <w:bottom w:val="single" w:color="000000" w:sz="16" w:space="0"/>
              <w:right w:val="single" w:color="000000" w:sz="16" w:space="0"/>
            </w:tcBorders>
            <w:shd w:val="clear" w:color="auto" w:fill="FFFFFF"/>
            <w:vAlign w:val="center"/>
          </w:tcPr>
          <w:p w14:paraId="0D3722A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N</w:t>
            </w:r>
          </w:p>
        </w:tc>
        <w:tc>
          <w:tcPr>
            <w:tcW w:w="283" w:type="pct"/>
            <w:tcBorders>
              <w:top w:val="nil"/>
              <w:left w:val="single" w:color="000000" w:sz="16" w:space="0"/>
              <w:bottom w:val="single" w:color="000000" w:sz="16" w:space="0"/>
            </w:tcBorders>
            <w:shd w:val="clear" w:color="auto" w:fill="FFFFFF"/>
          </w:tcPr>
          <w:p w14:paraId="3EC423F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single" w:color="000000" w:sz="16" w:space="0"/>
            </w:tcBorders>
            <w:shd w:val="clear" w:color="auto" w:fill="FFFFFF"/>
          </w:tcPr>
          <w:p w14:paraId="56BF289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single" w:color="000000" w:sz="16" w:space="0"/>
            </w:tcBorders>
            <w:shd w:val="clear" w:color="auto" w:fill="FFFFFF"/>
          </w:tcPr>
          <w:p w14:paraId="5815F42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single" w:color="000000" w:sz="16" w:space="0"/>
            </w:tcBorders>
            <w:shd w:val="clear" w:color="auto" w:fill="FFFFFF"/>
          </w:tcPr>
          <w:p w14:paraId="1C936B2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single" w:color="000000" w:sz="16" w:space="0"/>
            </w:tcBorders>
            <w:shd w:val="clear" w:color="auto" w:fill="FFFFFF"/>
          </w:tcPr>
          <w:p w14:paraId="1B22FE4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single" w:color="000000" w:sz="16" w:space="0"/>
            </w:tcBorders>
            <w:shd w:val="clear" w:color="auto" w:fill="FFFFFF"/>
          </w:tcPr>
          <w:p w14:paraId="77944DC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single" w:color="000000" w:sz="16" w:space="0"/>
            </w:tcBorders>
            <w:shd w:val="clear" w:color="auto" w:fill="FFFFFF"/>
          </w:tcPr>
          <w:p w14:paraId="51F46D7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single" w:color="000000" w:sz="16" w:space="0"/>
            </w:tcBorders>
            <w:shd w:val="clear" w:color="auto" w:fill="FFFFFF"/>
          </w:tcPr>
          <w:p w14:paraId="6379980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single" w:color="000000" w:sz="16" w:space="0"/>
            </w:tcBorders>
            <w:shd w:val="clear" w:color="auto" w:fill="FFFFFF"/>
          </w:tcPr>
          <w:p w14:paraId="3399BE5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single" w:color="000000" w:sz="16" w:space="0"/>
            </w:tcBorders>
            <w:shd w:val="clear" w:color="auto" w:fill="FFFFFF"/>
          </w:tcPr>
          <w:p w14:paraId="1150592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single" w:color="000000" w:sz="16" w:space="0"/>
            </w:tcBorders>
            <w:shd w:val="clear" w:color="auto" w:fill="FFFFFF"/>
          </w:tcPr>
          <w:p w14:paraId="1C24E38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single" w:color="000000" w:sz="16" w:space="0"/>
            </w:tcBorders>
            <w:shd w:val="clear" w:color="auto" w:fill="FFFFFF"/>
          </w:tcPr>
          <w:p w14:paraId="48A3553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single" w:color="000000" w:sz="16" w:space="0"/>
            </w:tcBorders>
            <w:shd w:val="clear" w:color="auto" w:fill="FFFFFF"/>
          </w:tcPr>
          <w:p w14:paraId="37FAE24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single" w:color="000000" w:sz="16" w:space="0"/>
            </w:tcBorders>
            <w:shd w:val="clear" w:color="auto" w:fill="FFFFFF"/>
          </w:tcPr>
          <w:p w14:paraId="6152E75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83" w:type="pct"/>
            <w:tcBorders>
              <w:top w:val="nil"/>
              <w:bottom w:val="single" w:color="000000" w:sz="16" w:space="0"/>
              <w:right w:val="single" w:color="000000" w:sz="16" w:space="0"/>
            </w:tcBorders>
            <w:shd w:val="clear" w:color="auto" w:fill="FFFFFF"/>
          </w:tcPr>
          <w:p w14:paraId="179485D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r>
      <w:tr w14:paraId="00E677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5000" w:type="pct"/>
            <w:gridSpan w:val="17"/>
            <w:tcBorders>
              <w:top w:val="nil"/>
              <w:left w:val="nil"/>
              <w:bottom w:val="nil"/>
              <w:right w:val="nil"/>
            </w:tcBorders>
            <w:shd w:val="clear" w:color="auto" w:fill="FFFFFF"/>
          </w:tcPr>
          <w:p w14:paraId="711E277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 Correlation is significant at the 0.01 level (2-tailed).</w:t>
            </w:r>
          </w:p>
        </w:tc>
      </w:tr>
    </w:tbl>
    <w:p w14:paraId="17706CF0">
      <w:pPr>
        <w:autoSpaceDE w:val="0"/>
        <w:autoSpaceDN w:val="0"/>
        <w:adjustRightInd w:val="0"/>
        <w:spacing w:after="0" w:line="400" w:lineRule="atLeast"/>
        <w:jc w:val="center"/>
        <w:rPr>
          <w:rFonts w:cs="Times New Roman"/>
          <w:szCs w:val="24"/>
          <w:highlight w:val="none"/>
          <w:lang w:val="en-US"/>
        </w:rPr>
      </w:pPr>
    </w:p>
    <w:p w14:paraId="292AEAE8">
      <w:pPr>
        <w:ind w:left="720" w:hanging="720"/>
        <w:jc w:val="center"/>
        <w:rPr>
          <w:highlight w:val="none"/>
          <w:shd w:val="clear" w:color="auto" w:fill="FFFFFF"/>
        </w:rPr>
      </w:pPr>
      <w:r>
        <w:rPr>
          <w:highlight w:val="none"/>
          <w:shd w:val="clear" w:color="auto" w:fill="FFFFFF"/>
        </w:rPr>
        <w:t>Frequency test</w:t>
      </w:r>
    </w:p>
    <w:tbl>
      <w:tblPr>
        <w:tblStyle w:val="12"/>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256"/>
        <w:gridCol w:w="709"/>
        <w:gridCol w:w="568"/>
        <w:gridCol w:w="558"/>
        <w:gridCol w:w="558"/>
        <w:gridCol w:w="558"/>
        <w:gridCol w:w="558"/>
        <w:gridCol w:w="558"/>
        <w:gridCol w:w="558"/>
        <w:gridCol w:w="558"/>
        <w:gridCol w:w="558"/>
        <w:gridCol w:w="558"/>
        <w:gridCol w:w="559"/>
        <w:gridCol w:w="559"/>
        <w:gridCol w:w="559"/>
        <w:gridCol w:w="559"/>
        <w:gridCol w:w="569"/>
      </w:tblGrid>
      <w:tr w14:paraId="65691A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5000" w:type="pct"/>
            <w:gridSpan w:val="17"/>
            <w:tcBorders>
              <w:top w:val="nil"/>
              <w:left w:val="nil"/>
              <w:bottom w:val="nil"/>
              <w:right w:val="nil"/>
            </w:tcBorders>
            <w:shd w:val="clear" w:color="auto" w:fill="FFFFFF"/>
          </w:tcPr>
          <w:p w14:paraId="1A73200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b/>
                <w:bCs/>
                <w:color w:val="000000"/>
                <w:sz w:val="18"/>
                <w:szCs w:val="18"/>
                <w:highlight w:val="none"/>
                <w:lang w:val="en-US"/>
              </w:rPr>
              <w:t>Statistics</w:t>
            </w:r>
          </w:p>
        </w:tc>
      </w:tr>
      <w:tr w14:paraId="013006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588" w:type="pct"/>
            <w:gridSpan w:val="2"/>
            <w:tcBorders>
              <w:top w:val="single" w:color="000000" w:sz="16" w:space="0"/>
              <w:left w:val="single" w:color="000000" w:sz="16" w:space="0"/>
              <w:bottom w:val="single" w:color="000000" w:sz="16" w:space="0"/>
              <w:right w:val="nil"/>
            </w:tcBorders>
            <w:shd w:val="clear" w:color="auto" w:fill="FFFFFF"/>
          </w:tcPr>
          <w:p w14:paraId="604B21FE">
            <w:pPr>
              <w:autoSpaceDE w:val="0"/>
              <w:autoSpaceDN w:val="0"/>
              <w:adjustRightInd w:val="0"/>
              <w:spacing w:after="0" w:line="240" w:lineRule="auto"/>
              <w:jc w:val="center"/>
              <w:rPr>
                <w:rFonts w:cs="Times New Roman"/>
                <w:szCs w:val="24"/>
                <w:highlight w:val="none"/>
                <w:lang w:val="en-US"/>
              </w:rPr>
            </w:pPr>
          </w:p>
        </w:tc>
        <w:tc>
          <w:tcPr>
            <w:tcW w:w="294" w:type="pct"/>
            <w:tcBorders>
              <w:top w:val="single" w:color="000000" w:sz="16" w:space="0"/>
              <w:left w:val="single" w:color="000000" w:sz="16" w:space="0"/>
              <w:bottom w:val="single" w:color="000000" w:sz="16" w:space="0"/>
            </w:tcBorders>
            <w:shd w:val="clear" w:color="auto" w:fill="FFFFFF"/>
          </w:tcPr>
          <w:p w14:paraId="3105C05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Q1.</w:t>
            </w:r>
          </w:p>
        </w:tc>
        <w:tc>
          <w:tcPr>
            <w:tcW w:w="294" w:type="pct"/>
            <w:tcBorders>
              <w:top w:val="single" w:color="000000" w:sz="16" w:space="0"/>
              <w:bottom w:val="single" w:color="000000" w:sz="16" w:space="0"/>
            </w:tcBorders>
            <w:shd w:val="clear" w:color="auto" w:fill="FFFFFF"/>
          </w:tcPr>
          <w:p w14:paraId="6B80334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Q2.</w:t>
            </w:r>
          </w:p>
        </w:tc>
        <w:tc>
          <w:tcPr>
            <w:tcW w:w="294" w:type="pct"/>
            <w:tcBorders>
              <w:top w:val="single" w:color="000000" w:sz="16" w:space="0"/>
              <w:bottom w:val="single" w:color="000000" w:sz="16" w:space="0"/>
            </w:tcBorders>
            <w:shd w:val="clear" w:color="auto" w:fill="FFFFFF"/>
          </w:tcPr>
          <w:p w14:paraId="2FD9EE5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Q3.</w:t>
            </w:r>
          </w:p>
        </w:tc>
        <w:tc>
          <w:tcPr>
            <w:tcW w:w="294" w:type="pct"/>
            <w:tcBorders>
              <w:top w:val="single" w:color="000000" w:sz="16" w:space="0"/>
              <w:bottom w:val="single" w:color="000000" w:sz="16" w:space="0"/>
            </w:tcBorders>
            <w:shd w:val="clear" w:color="auto" w:fill="FFFFFF"/>
          </w:tcPr>
          <w:p w14:paraId="5ABB6D8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Q4.</w:t>
            </w:r>
          </w:p>
        </w:tc>
        <w:tc>
          <w:tcPr>
            <w:tcW w:w="294" w:type="pct"/>
            <w:tcBorders>
              <w:top w:val="single" w:color="000000" w:sz="16" w:space="0"/>
              <w:bottom w:val="single" w:color="000000" w:sz="16" w:space="0"/>
            </w:tcBorders>
            <w:shd w:val="clear" w:color="auto" w:fill="FFFFFF"/>
          </w:tcPr>
          <w:p w14:paraId="454C138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Q5.</w:t>
            </w:r>
          </w:p>
        </w:tc>
        <w:tc>
          <w:tcPr>
            <w:tcW w:w="294" w:type="pct"/>
            <w:tcBorders>
              <w:top w:val="single" w:color="000000" w:sz="16" w:space="0"/>
              <w:bottom w:val="single" w:color="000000" w:sz="16" w:space="0"/>
            </w:tcBorders>
            <w:shd w:val="clear" w:color="auto" w:fill="FFFFFF"/>
          </w:tcPr>
          <w:p w14:paraId="5D9FB6D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Q6.</w:t>
            </w:r>
          </w:p>
        </w:tc>
        <w:tc>
          <w:tcPr>
            <w:tcW w:w="294" w:type="pct"/>
            <w:tcBorders>
              <w:top w:val="single" w:color="000000" w:sz="16" w:space="0"/>
              <w:bottom w:val="single" w:color="000000" w:sz="16" w:space="0"/>
            </w:tcBorders>
            <w:shd w:val="clear" w:color="auto" w:fill="FFFFFF"/>
          </w:tcPr>
          <w:p w14:paraId="71287DF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Q7.</w:t>
            </w:r>
          </w:p>
        </w:tc>
        <w:tc>
          <w:tcPr>
            <w:tcW w:w="294" w:type="pct"/>
            <w:tcBorders>
              <w:top w:val="single" w:color="000000" w:sz="16" w:space="0"/>
              <w:bottom w:val="single" w:color="000000" w:sz="16" w:space="0"/>
            </w:tcBorders>
            <w:shd w:val="clear" w:color="auto" w:fill="FFFFFF"/>
          </w:tcPr>
          <w:p w14:paraId="437A0A8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Q8.</w:t>
            </w:r>
          </w:p>
        </w:tc>
        <w:tc>
          <w:tcPr>
            <w:tcW w:w="294" w:type="pct"/>
            <w:tcBorders>
              <w:top w:val="single" w:color="000000" w:sz="16" w:space="0"/>
              <w:bottom w:val="single" w:color="000000" w:sz="16" w:space="0"/>
            </w:tcBorders>
            <w:shd w:val="clear" w:color="auto" w:fill="FFFFFF"/>
          </w:tcPr>
          <w:p w14:paraId="5BFDB5F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Q9.</w:t>
            </w:r>
          </w:p>
        </w:tc>
        <w:tc>
          <w:tcPr>
            <w:tcW w:w="294" w:type="pct"/>
            <w:tcBorders>
              <w:top w:val="single" w:color="000000" w:sz="16" w:space="0"/>
              <w:bottom w:val="single" w:color="000000" w:sz="16" w:space="0"/>
            </w:tcBorders>
            <w:shd w:val="clear" w:color="auto" w:fill="FFFFFF"/>
          </w:tcPr>
          <w:p w14:paraId="4E1FD89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 10.</w:t>
            </w:r>
          </w:p>
        </w:tc>
        <w:tc>
          <w:tcPr>
            <w:tcW w:w="294" w:type="pct"/>
            <w:tcBorders>
              <w:top w:val="single" w:color="000000" w:sz="16" w:space="0"/>
              <w:bottom w:val="single" w:color="000000" w:sz="16" w:space="0"/>
            </w:tcBorders>
            <w:shd w:val="clear" w:color="auto" w:fill="FFFFFF"/>
          </w:tcPr>
          <w:p w14:paraId="55102E8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Q11.</w:t>
            </w:r>
          </w:p>
        </w:tc>
        <w:tc>
          <w:tcPr>
            <w:tcW w:w="294" w:type="pct"/>
            <w:tcBorders>
              <w:top w:val="single" w:color="000000" w:sz="16" w:space="0"/>
              <w:bottom w:val="single" w:color="000000" w:sz="16" w:space="0"/>
            </w:tcBorders>
            <w:shd w:val="clear" w:color="auto" w:fill="FFFFFF"/>
          </w:tcPr>
          <w:p w14:paraId="0940EB9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Q12.</w:t>
            </w:r>
          </w:p>
        </w:tc>
        <w:tc>
          <w:tcPr>
            <w:tcW w:w="294" w:type="pct"/>
            <w:tcBorders>
              <w:top w:val="single" w:color="000000" w:sz="16" w:space="0"/>
              <w:bottom w:val="single" w:color="000000" w:sz="16" w:space="0"/>
            </w:tcBorders>
            <w:shd w:val="clear" w:color="auto" w:fill="FFFFFF"/>
          </w:tcPr>
          <w:p w14:paraId="2B0D128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Q13.</w:t>
            </w:r>
          </w:p>
        </w:tc>
        <w:tc>
          <w:tcPr>
            <w:tcW w:w="294" w:type="pct"/>
            <w:tcBorders>
              <w:top w:val="single" w:color="000000" w:sz="16" w:space="0"/>
              <w:bottom w:val="single" w:color="000000" w:sz="16" w:space="0"/>
            </w:tcBorders>
            <w:shd w:val="clear" w:color="auto" w:fill="FFFFFF"/>
          </w:tcPr>
          <w:p w14:paraId="3D81461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Q14.</w:t>
            </w:r>
          </w:p>
        </w:tc>
        <w:tc>
          <w:tcPr>
            <w:tcW w:w="294" w:type="pct"/>
            <w:tcBorders>
              <w:top w:val="single" w:color="000000" w:sz="16" w:space="0"/>
              <w:bottom w:val="single" w:color="000000" w:sz="16" w:space="0"/>
              <w:right w:val="single" w:color="000000" w:sz="16" w:space="0"/>
            </w:tcBorders>
            <w:shd w:val="clear" w:color="auto" w:fill="FFFFFF"/>
          </w:tcPr>
          <w:p w14:paraId="1AD764E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Q15.</w:t>
            </w:r>
          </w:p>
        </w:tc>
      </w:tr>
      <w:tr w14:paraId="16A110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94" w:type="pct"/>
            <w:vMerge w:val="restart"/>
            <w:tcBorders>
              <w:top w:val="single" w:color="000000" w:sz="16" w:space="0"/>
              <w:left w:val="single" w:color="000000" w:sz="16" w:space="0"/>
              <w:bottom w:val="nil"/>
              <w:right w:val="nil"/>
            </w:tcBorders>
            <w:shd w:val="clear" w:color="auto" w:fill="FFFFFF"/>
            <w:vAlign w:val="center"/>
          </w:tcPr>
          <w:p w14:paraId="795F86F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N</w:t>
            </w:r>
          </w:p>
        </w:tc>
        <w:tc>
          <w:tcPr>
            <w:tcW w:w="294" w:type="pct"/>
            <w:tcBorders>
              <w:top w:val="single" w:color="000000" w:sz="16" w:space="0"/>
              <w:left w:val="nil"/>
              <w:bottom w:val="nil"/>
              <w:right w:val="single" w:color="000000" w:sz="16" w:space="0"/>
            </w:tcBorders>
            <w:shd w:val="clear" w:color="auto" w:fill="FFFFFF"/>
            <w:vAlign w:val="center"/>
          </w:tcPr>
          <w:p w14:paraId="355B7A3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Valid</w:t>
            </w:r>
          </w:p>
        </w:tc>
        <w:tc>
          <w:tcPr>
            <w:tcW w:w="294" w:type="pct"/>
            <w:tcBorders>
              <w:top w:val="single" w:color="000000" w:sz="16" w:space="0"/>
              <w:left w:val="single" w:color="000000" w:sz="16" w:space="0"/>
              <w:bottom w:val="nil"/>
            </w:tcBorders>
            <w:shd w:val="clear" w:color="auto" w:fill="FFFFFF"/>
          </w:tcPr>
          <w:p w14:paraId="0EE93CB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94" w:type="pct"/>
            <w:tcBorders>
              <w:top w:val="single" w:color="000000" w:sz="16" w:space="0"/>
              <w:bottom w:val="nil"/>
            </w:tcBorders>
            <w:shd w:val="clear" w:color="auto" w:fill="FFFFFF"/>
          </w:tcPr>
          <w:p w14:paraId="28D588E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94" w:type="pct"/>
            <w:tcBorders>
              <w:top w:val="single" w:color="000000" w:sz="16" w:space="0"/>
              <w:bottom w:val="nil"/>
            </w:tcBorders>
            <w:shd w:val="clear" w:color="auto" w:fill="FFFFFF"/>
          </w:tcPr>
          <w:p w14:paraId="39CB1C0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94" w:type="pct"/>
            <w:tcBorders>
              <w:top w:val="single" w:color="000000" w:sz="16" w:space="0"/>
              <w:bottom w:val="nil"/>
            </w:tcBorders>
            <w:shd w:val="clear" w:color="auto" w:fill="FFFFFF"/>
          </w:tcPr>
          <w:p w14:paraId="5195DF3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94" w:type="pct"/>
            <w:tcBorders>
              <w:top w:val="single" w:color="000000" w:sz="16" w:space="0"/>
              <w:bottom w:val="nil"/>
            </w:tcBorders>
            <w:shd w:val="clear" w:color="auto" w:fill="FFFFFF"/>
          </w:tcPr>
          <w:p w14:paraId="0C43C3E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94" w:type="pct"/>
            <w:tcBorders>
              <w:top w:val="single" w:color="000000" w:sz="16" w:space="0"/>
              <w:bottom w:val="nil"/>
            </w:tcBorders>
            <w:shd w:val="clear" w:color="auto" w:fill="FFFFFF"/>
          </w:tcPr>
          <w:p w14:paraId="59409A9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94" w:type="pct"/>
            <w:tcBorders>
              <w:top w:val="single" w:color="000000" w:sz="16" w:space="0"/>
              <w:bottom w:val="nil"/>
            </w:tcBorders>
            <w:shd w:val="clear" w:color="auto" w:fill="FFFFFF"/>
          </w:tcPr>
          <w:p w14:paraId="7A480BE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94" w:type="pct"/>
            <w:tcBorders>
              <w:top w:val="single" w:color="000000" w:sz="16" w:space="0"/>
              <w:bottom w:val="nil"/>
            </w:tcBorders>
            <w:shd w:val="clear" w:color="auto" w:fill="FFFFFF"/>
          </w:tcPr>
          <w:p w14:paraId="22CDCB2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94" w:type="pct"/>
            <w:tcBorders>
              <w:top w:val="single" w:color="000000" w:sz="16" w:space="0"/>
              <w:bottom w:val="nil"/>
            </w:tcBorders>
            <w:shd w:val="clear" w:color="auto" w:fill="FFFFFF"/>
          </w:tcPr>
          <w:p w14:paraId="0EF3CA4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94" w:type="pct"/>
            <w:tcBorders>
              <w:top w:val="single" w:color="000000" w:sz="16" w:space="0"/>
              <w:bottom w:val="nil"/>
            </w:tcBorders>
            <w:shd w:val="clear" w:color="auto" w:fill="FFFFFF"/>
          </w:tcPr>
          <w:p w14:paraId="2E9768A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94" w:type="pct"/>
            <w:tcBorders>
              <w:top w:val="single" w:color="000000" w:sz="16" w:space="0"/>
              <w:bottom w:val="nil"/>
            </w:tcBorders>
            <w:shd w:val="clear" w:color="auto" w:fill="FFFFFF"/>
          </w:tcPr>
          <w:p w14:paraId="5D1A363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94" w:type="pct"/>
            <w:tcBorders>
              <w:top w:val="single" w:color="000000" w:sz="16" w:space="0"/>
              <w:bottom w:val="nil"/>
            </w:tcBorders>
            <w:shd w:val="clear" w:color="auto" w:fill="FFFFFF"/>
          </w:tcPr>
          <w:p w14:paraId="0C82DC4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288</w:t>
            </w:r>
          </w:p>
        </w:tc>
        <w:tc>
          <w:tcPr>
            <w:tcW w:w="294" w:type="pct"/>
            <w:tcBorders>
              <w:top w:val="single" w:color="000000" w:sz="16" w:space="0"/>
              <w:bottom w:val="nil"/>
            </w:tcBorders>
            <w:shd w:val="clear" w:color="auto" w:fill="FFFFFF"/>
          </w:tcPr>
          <w:p w14:paraId="6DDFF37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94" w:type="pct"/>
            <w:tcBorders>
              <w:top w:val="single" w:color="000000" w:sz="16" w:space="0"/>
              <w:bottom w:val="nil"/>
            </w:tcBorders>
            <w:shd w:val="clear" w:color="auto" w:fill="FFFFFF"/>
          </w:tcPr>
          <w:p w14:paraId="11E6458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294" w:type="pct"/>
            <w:tcBorders>
              <w:top w:val="single" w:color="000000" w:sz="16" w:space="0"/>
              <w:bottom w:val="nil"/>
              <w:right w:val="single" w:color="000000" w:sz="16" w:space="0"/>
            </w:tcBorders>
            <w:shd w:val="clear" w:color="auto" w:fill="FFFFFF"/>
          </w:tcPr>
          <w:p w14:paraId="0C49555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r>
      <w:tr w14:paraId="4EE793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94" w:type="pct"/>
            <w:vMerge w:val="continue"/>
            <w:tcBorders>
              <w:top w:val="single" w:color="000000" w:sz="16" w:space="0"/>
              <w:left w:val="single" w:color="000000" w:sz="16" w:space="0"/>
              <w:bottom w:val="nil"/>
              <w:right w:val="nil"/>
            </w:tcBorders>
            <w:shd w:val="clear" w:color="auto" w:fill="FFFFFF"/>
            <w:vAlign w:val="center"/>
          </w:tcPr>
          <w:p w14:paraId="06807B4D">
            <w:pPr>
              <w:autoSpaceDE w:val="0"/>
              <w:autoSpaceDN w:val="0"/>
              <w:adjustRightInd w:val="0"/>
              <w:spacing w:after="0" w:line="240" w:lineRule="auto"/>
              <w:jc w:val="center"/>
              <w:rPr>
                <w:rFonts w:ascii="Arial" w:hAnsi="Arial" w:cs="Arial"/>
                <w:color w:val="000000"/>
                <w:sz w:val="18"/>
                <w:szCs w:val="18"/>
                <w:highlight w:val="none"/>
                <w:lang w:val="en-US"/>
              </w:rPr>
            </w:pPr>
          </w:p>
        </w:tc>
        <w:tc>
          <w:tcPr>
            <w:tcW w:w="294" w:type="pct"/>
            <w:tcBorders>
              <w:top w:val="nil"/>
              <w:left w:val="nil"/>
              <w:bottom w:val="nil"/>
              <w:right w:val="single" w:color="000000" w:sz="16" w:space="0"/>
            </w:tcBorders>
            <w:shd w:val="clear" w:color="auto" w:fill="FFFFFF"/>
            <w:vAlign w:val="center"/>
          </w:tcPr>
          <w:p w14:paraId="2CF8205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Missing</w:t>
            </w:r>
          </w:p>
        </w:tc>
        <w:tc>
          <w:tcPr>
            <w:tcW w:w="294" w:type="pct"/>
            <w:tcBorders>
              <w:top w:val="nil"/>
              <w:left w:val="single" w:color="000000" w:sz="16" w:space="0"/>
              <w:bottom w:val="nil"/>
            </w:tcBorders>
            <w:shd w:val="clear" w:color="auto" w:fill="FFFFFF"/>
          </w:tcPr>
          <w:p w14:paraId="71498A5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6</w:t>
            </w:r>
          </w:p>
        </w:tc>
        <w:tc>
          <w:tcPr>
            <w:tcW w:w="294" w:type="pct"/>
            <w:tcBorders>
              <w:top w:val="nil"/>
              <w:bottom w:val="nil"/>
            </w:tcBorders>
            <w:shd w:val="clear" w:color="auto" w:fill="FFFFFF"/>
          </w:tcPr>
          <w:p w14:paraId="5EF2F08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6</w:t>
            </w:r>
          </w:p>
        </w:tc>
        <w:tc>
          <w:tcPr>
            <w:tcW w:w="294" w:type="pct"/>
            <w:tcBorders>
              <w:top w:val="nil"/>
              <w:bottom w:val="nil"/>
            </w:tcBorders>
            <w:shd w:val="clear" w:color="auto" w:fill="FFFFFF"/>
          </w:tcPr>
          <w:p w14:paraId="4DB39D8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6</w:t>
            </w:r>
          </w:p>
        </w:tc>
        <w:tc>
          <w:tcPr>
            <w:tcW w:w="294" w:type="pct"/>
            <w:tcBorders>
              <w:top w:val="nil"/>
              <w:bottom w:val="nil"/>
            </w:tcBorders>
            <w:shd w:val="clear" w:color="auto" w:fill="FFFFFF"/>
          </w:tcPr>
          <w:p w14:paraId="692455C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6</w:t>
            </w:r>
          </w:p>
        </w:tc>
        <w:tc>
          <w:tcPr>
            <w:tcW w:w="294" w:type="pct"/>
            <w:tcBorders>
              <w:top w:val="nil"/>
              <w:bottom w:val="nil"/>
            </w:tcBorders>
            <w:shd w:val="clear" w:color="auto" w:fill="FFFFFF"/>
          </w:tcPr>
          <w:p w14:paraId="227324C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6</w:t>
            </w:r>
          </w:p>
        </w:tc>
        <w:tc>
          <w:tcPr>
            <w:tcW w:w="294" w:type="pct"/>
            <w:tcBorders>
              <w:top w:val="nil"/>
              <w:bottom w:val="nil"/>
            </w:tcBorders>
            <w:shd w:val="clear" w:color="auto" w:fill="FFFFFF"/>
          </w:tcPr>
          <w:p w14:paraId="05385ED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6</w:t>
            </w:r>
          </w:p>
        </w:tc>
        <w:tc>
          <w:tcPr>
            <w:tcW w:w="294" w:type="pct"/>
            <w:tcBorders>
              <w:top w:val="nil"/>
              <w:bottom w:val="nil"/>
            </w:tcBorders>
            <w:shd w:val="clear" w:color="auto" w:fill="FFFFFF"/>
          </w:tcPr>
          <w:p w14:paraId="55B5F23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6</w:t>
            </w:r>
          </w:p>
        </w:tc>
        <w:tc>
          <w:tcPr>
            <w:tcW w:w="294" w:type="pct"/>
            <w:tcBorders>
              <w:top w:val="nil"/>
              <w:bottom w:val="nil"/>
            </w:tcBorders>
            <w:shd w:val="clear" w:color="auto" w:fill="FFFFFF"/>
          </w:tcPr>
          <w:p w14:paraId="3717144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6</w:t>
            </w:r>
          </w:p>
        </w:tc>
        <w:tc>
          <w:tcPr>
            <w:tcW w:w="294" w:type="pct"/>
            <w:tcBorders>
              <w:top w:val="nil"/>
              <w:bottom w:val="nil"/>
            </w:tcBorders>
            <w:shd w:val="clear" w:color="auto" w:fill="FFFFFF"/>
          </w:tcPr>
          <w:p w14:paraId="6CB8D76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6</w:t>
            </w:r>
          </w:p>
        </w:tc>
        <w:tc>
          <w:tcPr>
            <w:tcW w:w="294" w:type="pct"/>
            <w:tcBorders>
              <w:top w:val="nil"/>
              <w:bottom w:val="nil"/>
            </w:tcBorders>
            <w:shd w:val="clear" w:color="auto" w:fill="FFFFFF"/>
          </w:tcPr>
          <w:p w14:paraId="62EBC11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6</w:t>
            </w:r>
          </w:p>
        </w:tc>
        <w:tc>
          <w:tcPr>
            <w:tcW w:w="294" w:type="pct"/>
            <w:tcBorders>
              <w:top w:val="nil"/>
              <w:bottom w:val="nil"/>
            </w:tcBorders>
            <w:shd w:val="clear" w:color="auto" w:fill="FFFFFF"/>
          </w:tcPr>
          <w:p w14:paraId="06561DE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6</w:t>
            </w:r>
          </w:p>
        </w:tc>
        <w:tc>
          <w:tcPr>
            <w:tcW w:w="294" w:type="pct"/>
            <w:tcBorders>
              <w:top w:val="nil"/>
              <w:bottom w:val="nil"/>
            </w:tcBorders>
            <w:shd w:val="clear" w:color="auto" w:fill="FFFFFF"/>
          </w:tcPr>
          <w:p w14:paraId="1B93257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w:t>
            </w:r>
          </w:p>
        </w:tc>
        <w:tc>
          <w:tcPr>
            <w:tcW w:w="294" w:type="pct"/>
            <w:tcBorders>
              <w:top w:val="nil"/>
              <w:bottom w:val="nil"/>
            </w:tcBorders>
            <w:shd w:val="clear" w:color="auto" w:fill="FFFFFF"/>
          </w:tcPr>
          <w:p w14:paraId="42A1A60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6</w:t>
            </w:r>
          </w:p>
        </w:tc>
        <w:tc>
          <w:tcPr>
            <w:tcW w:w="294" w:type="pct"/>
            <w:tcBorders>
              <w:top w:val="nil"/>
              <w:bottom w:val="nil"/>
            </w:tcBorders>
            <w:shd w:val="clear" w:color="auto" w:fill="FFFFFF"/>
          </w:tcPr>
          <w:p w14:paraId="46FD83D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6</w:t>
            </w:r>
          </w:p>
        </w:tc>
        <w:tc>
          <w:tcPr>
            <w:tcW w:w="294" w:type="pct"/>
            <w:tcBorders>
              <w:top w:val="nil"/>
              <w:bottom w:val="nil"/>
              <w:right w:val="single" w:color="000000" w:sz="16" w:space="0"/>
            </w:tcBorders>
            <w:shd w:val="clear" w:color="auto" w:fill="FFFFFF"/>
          </w:tcPr>
          <w:p w14:paraId="76A5557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6</w:t>
            </w:r>
          </w:p>
        </w:tc>
      </w:tr>
      <w:tr w14:paraId="7AF04E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588" w:type="pct"/>
            <w:gridSpan w:val="2"/>
            <w:tcBorders>
              <w:top w:val="nil"/>
              <w:left w:val="single" w:color="000000" w:sz="16" w:space="0"/>
              <w:bottom w:val="nil"/>
              <w:right w:val="nil"/>
            </w:tcBorders>
            <w:shd w:val="clear" w:color="auto" w:fill="FFFFFF"/>
            <w:vAlign w:val="center"/>
          </w:tcPr>
          <w:p w14:paraId="473961C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Mean</w:t>
            </w:r>
          </w:p>
        </w:tc>
        <w:tc>
          <w:tcPr>
            <w:tcW w:w="294" w:type="pct"/>
            <w:tcBorders>
              <w:top w:val="nil"/>
              <w:left w:val="single" w:color="000000" w:sz="16" w:space="0"/>
              <w:bottom w:val="nil"/>
            </w:tcBorders>
            <w:shd w:val="clear" w:color="auto" w:fill="FFFFFF"/>
          </w:tcPr>
          <w:p w14:paraId="4A28FDE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2.65</w:t>
            </w:r>
          </w:p>
        </w:tc>
        <w:tc>
          <w:tcPr>
            <w:tcW w:w="294" w:type="pct"/>
            <w:tcBorders>
              <w:top w:val="nil"/>
              <w:bottom w:val="nil"/>
            </w:tcBorders>
            <w:shd w:val="clear" w:color="auto" w:fill="FFFFFF"/>
          </w:tcPr>
          <w:p w14:paraId="62AF8D6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3.63</w:t>
            </w:r>
          </w:p>
        </w:tc>
        <w:tc>
          <w:tcPr>
            <w:tcW w:w="294" w:type="pct"/>
            <w:tcBorders>
              <w:top w:val="nil"/>
              <w:bottom w:val="nil"/>
            </w:tcBorders>
            <w:shd w:val="clear" w:color="auto" w:fill="FFFFFF"/>
          </w:tcPr>
          <w:p w14:paraId="7DB65BE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2.89</w:t>
            </w:r>
          </w:p>
        </w:tc>
        <w:tc>
          <w:tcPr>
            <w:tcW w:w="294" w:type="pct"/>
            <w:tcBorders>
              <w:top w:val="nil"/>
              <w:bottom w:val="nil"/>
            </w:tcBorders>
            <w:shd w:val="clear" w:color="auto" w:fill="FFFFFF"/>
          </w:tcPr>
          <w:p w14:paraId="03D10C5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3.40</w:t>
            </w:r>
          </w:p>
        </w:tc>
        <w:tc>
          <w:tcPr>
            <w:tcW w:w="294" w:type="pct"/>
            <w:tcBorders>
              <w:top w:val="nil"/>
              <w:bottom w:val="nil"/>
            </w:tcBorders>
            <w:shd w:val="clear" w:color="auto" w:fill="FFFFFF"/>
          </w:tcPr>
          <w:p w14:paraId="07EF181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2.89</w:t>
            </w:r>
          </w:p>
        </w:tc>
        <w:tc>
          <w:tcPr>
            <w:tcW w:w="294" w:type="pct"/>
            <w:tcBorders>
              <w:top w:val="nil"/>
              <w:bottom w:val="nil"/>
            </w:tcBorders>
            <w:shd w:val="clear" w:color="auto" w:fill="FFFFFF"/>
          </w:tcPr>
          <w:p w14:paraId="04C5A14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3.39</w:t>
            </w:r>
          </w:p>
        </w:tc>
        <w:tc>
          <w:tcPr>
            <w:tcW w:w="294" w:type="pct"/>
            <w:tcBorders>
              <w:top w:val="nil"/>
              <w:bottom w:val="nil"/>
            </w:tcBorders>
            <w:shd w:val="clear" w:color="auto" w:fill="FFFFFF"/>
          </w:tcPr>
          <w:p w14:paraId="2A88012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2.89</w:t>
            </w:r>
          </w:p>
        </w:tc>
        <w:tc>
          <w:tcPr>
            <w:tcW w:w="294" w:type="pct"/>
            <w:tcBorders>
              <w:top w:val="nil"/>
              <w:bottom w:val="nil"/>
            </w:tcBorders>
            <w:shd w:val="clear" w:color="auto" w:fill="FFFFFF"/>
          </w:tcPr>
          <w:p w14:paraId="5473FF9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3.39</w:t>
            </w:r>
          </w:p>
        </w:tc>
        <w:tc>
          <w:tcPr>
            <w:tcW w:w="294" w:type="pct"/>
            <w:tcBorders>
              <w:top w:val="nil"/>
              <w:bottom w:val="nil"/>
            </w:tcBorders>
            <w:shd w:val="clear" w:color="auto" w:fill="FFFFFF"/>
          </w:tcPr>
          <w:p w14:paraId="73F2599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2.89</w:t>
            </w:r>
          </w:p>
        </w:tc>
        <w:tc>
          <w:tcPr>
            <w:tcW w:w="294" w:type="pct"/>
            <w:tcBorders>
              <w:top w:val="nil"/>
              <w:bottom w:val="nil"/>
            </w:tcBorders>
            <w:shd w:val="clear" w:color="auto" w:fill="FFFFFF"/>
          </w:tcPr>
          <w:p w14:paraId="514BD5D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3.65</w:t>
            </w:r>
          </w:p>
        </w:tc>
        <w:tc>
          <w:tcPr>
            <w:tcW w:w="294" w:type="pct"/>
            <w:tcBorders>
              <w:top w:val="nil"/>
              <w:bottom w:val="nil"/>
            </w:tcBorders>
            <w:shd w:val="clear" w:color="auto" w:fill="FFFFFF"/>
          </w:tcPr>
          <w:p w14:paraId="1EB94F8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2.64</w:t>
            </w:r>
          </w:p>
        </w:tc>
        <w:tc>
          <w:tcPr>
            <w:tcW w:w="294" w:type="pct"/>
            <w:tcBorders>
              <w:top w:val="nil"/>
              <w:bottom w:val="nil"/>
            </w:tcBorders>
            <w:shd w:val="clear" w:color="auto" w:fill="FFFFFF"/>
          </w:tcPr>
          <w:p w14:paraId="1876DA8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3.66</w:t>
            </w:r>
          </w:p>
        </w:tc>
        <w:tc>
          <w:tcPr>
            <w:tcW w:w="294" w:type="pct"/>
            <w:tcBorders>
              <w:top w:val="nil"/>
              <w:bottom w:val="nil"/>
            </w:tcBorders>
            <w:shd w:val="clear" w:color="auto" w:fill="FFFFFF"/>
          </w:tcPr>
          <w:p w14:paraId="61CDE39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2.65</w:t>
            </w:r>
          </w:p>
        </w:tc>
        <w:tc>
          <w:tcPr>
            <w:tcW w:w="294" w:type="pct"/>
            <w:tcBorders>
              <w:top w:val="nil"/>
              <w:bottom w:val="nil"/>
            </w:tcBorders>
            <w:shd w:val="clear" w:color="auto" w:fill="FFFFFF"/>
          </w:tcPr>
          <w:p w14:paraId="0384E78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3.65</w:t>
            </w:r>
          </w:p>
        </w:tc>
        <w:tc>
          <w:tcPr>
            <w:tcW w:w="294" w:type="pct"/>
            <w:tcBorders>
              <w:top w:val="nil"/>
              <w:bottom w:val="nil"/>
              <w:right w:val="single" w:color="000000" w:sz="16" w:space="0"/>
            </w:tcBorders>
            <w:shd w:val="clear" w:color="auto" w:fill="FFFFFF"/>
          </w:tcPr>
          <w:p w14:paraId="6D8AFA1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2.65</w:t>
            </w:r>
          </w:p>
        </w:tc>
      </w:tr>
      <w:tr w14:paraId="7C4F24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588" w:type="pct"/>
            <w:gridSpan w:val="2"/>
            <w:tcBorders>
              <w:top w:val="nil"/>
              <w:left w:val="single" w:color="000000" w:sz="16" w:space="0"/>
              <w:bottom w:val="nil"/>
              <w:right w:val="nil"/>
            </w:tcBorders>
            <w:shd w:val="clear" w:color="auto" w:fill="FFFFFF"/>
            <w:vAlign w:val="center"/>
          </w:tcPr>
          <w:p w14:paraId="3A001F6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Median</w:t>
            </w:r>
          </w:p>
        </w:tc>
        <w:tc>
          <w:tcPr>
            <w:tcW w:w="294" w:type="pct"/>
            <w:tcBorders>
              <w:top w:val="nil"/>
              <w:left w:val="single" w:color="000000" w:sz="16" w:space="0"/>
              <w:bottom w:val="nil"/>
            </w:tcBorders>
            <w:shd w:val="clear" w:color="auto" w:fill="FFFFFF"/>
          </w:tcPr>
          <w:p w14:paraId="3719BEF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4.00</w:t>
            </w:r>
          </w:p>
        </w:tc>
        <w:tc>
          <w:tcPr>
            <w:tcW w:w="294" w:type="pct"/>
            <w:tcBorders>
              <w:top w:val="nil"/>
              <w:bottom w:val="nil"/>
            </w:tcBorders>
            <w:shd w:val="clear" w:color="auto" w:fill="FFFFFF"/>
          </w:tcPr>
          <w:p w14:paraId="0584CB4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5.00</w:t>
            </w:r>
          </w:p>
        </w:tc>
        <w:tc>
          <w:tcPr>
            <w:tcW w:w="294" w:type="pct"/>
            <w:tcBorders>
              <w:top w:val="nil"/>
              <w:bottom w:val="nil"/>
            </w:tcBorders>
            <w:shd w:val="clear" w:color="auto" w:fill="FFFFFF"/>
          </w:tcPr>
          <w:p w14:paraId="290CD7B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4.00</w:t>
            </w:r>
          </w:p>
        </w:tc>
        <w:tc>
          <w:tcPr>
            <w:tcW w:w="294" w:type="pct"/>
            <w:tcBorders>
              <w:top w:val="nil"/>
              <w:bottom w:val="nil"/>
            </w:tcBorders>
            <w:shd w:val="clear" w:color="auto" w:fill="FFFFFF"/>
          </w:tcPr>
          <w:p w14:paraId="52DFECF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5.00</w:t>
            </w:r>
          </w:p>
        </w:tc>
        <w:tc>
          <w:tcPr>
            <w:tcW w:w="294" w:type="pct"/>
            <w:tcBorders>
              <w:top w:val="nil"/>
              <w:bottom w:val="nil"/>
            </w:tcBorders>
            <w:shd w:val="clear" w:color="auto" w:fill="FFFFFF"/>
          </w:tcPr>
          <w:p w14:paraId="6A72C55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4.00</w:t>
            </w:r>
          </w:p>
        </w:tc>
        <w:tc>
          <w:tcPr>
            <w:tcW w:w="294" w:type="pct"/>
            <w:tcBorders>
              <w:top w:val="nil"/>
              <w:bottom w:val="nil"/>
            </w:tcBorders>
            <w:shd w:val="clear" w:color="auto" w:fill="FFFFFF"/>
          </w:tcPr>
          <w:p w14:paraId="7FA5E29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5.00</w:t>
            </w:r>
          </w:p>
        </w:tc>
        <w:tc>
          <w:tcPr>
            <w:tcW w:w="294" w:type="pct"/>
            <w:tcBorders>
              <w:top w:val="nil"/>
              <w:bottom w:val="nil"/>
            </w:tcBorders>
            <w:shd w:val="clear" w:color="auto" w:fill="FFFFFF"/>
          </w:tcPr>
          <w:p w14:paraId="09F33E3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4.00</w:t>
            </w:r>
          </w:p>
        </w:tc>
        <w:tc>
          <w:tcPr>
            <w:tcW w:w="294" w:type="pct"/>
            <w:tcBorders>
              <w:top w:val="nil"/>
              <w:bottom w:val="nil"/>
            </w:tcBorders>
            <w:shd w:val="clear" w:color="auto" w:fill="FFFFFF"/>
          </w:tcPr>
          <w:p w14:paraId="454CA62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5.00</w:t>
            </w:r>
          </w:p>
        </w:tc>
        <w:tc>
          <w:tcPr>
            <w:tcW w:w="294" w:type="pct"/>
            <w:tcBorders>
              <w:top w:val="nil"/>
              <w:bottom w:val="nil"/>
            </w:tcBorders>
            <w:shd w:val="clear" w:color="auto" w:fill="FFFFFF"/>
          </w:tcPr>
          <w:p w14:paraId="42CE7F1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4.00</w:t>
            </w:r>
          </w:p>
        </w:tc>
        <w:tc>
          <w:tcPr>
            <w:tcW w:w="294" w:type="pct"/>
            <w:tcBorders>
              <w:top w:val="nil"/>
              <w:bottom w:val="nil"/>
            </w:tcBorders>
            <w:shd w:val="clear" w:color="auto" w:fill="FFFFFF"/>
          </w:tcPr>
          <w:p w14:paraId="5A98976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5.00</w:t>
            </w:r>
          </w:p>
        </w:tc>
        <w:tc>
          <w:tcPr>
            <w:tcW w:w="294" w:type="pct"/>
            <w:tcBorders>
              <w:top w:val="nil"/>
              <w:bottom w:val="nil"/>
            </w:tcBorders>
            <w:shd w:val="clear" w:color="auto" w:fill="FFFFFF"/>
          </w:tcPr>
          <w:p w14:paraId="0638B0C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4.00</w:t>
            </w:r>
          </w:p>
        </w:tc>
        <w:tc>
          <w:tcPr>
            <w:tcW w:w="294" w:type="pct"/>
            <w:tcBorders>
              <w:top w:val="nil"/>
              <w:bottom w:val="nil"/>
            </w:tcBorders>
            <w:shd w:val="clear" w:color="auto" w:fill="FFFFFF"/>
          </w:tcPr>
          <w:p w14:paraId="2C78132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5.00</w:t>
            </w:r>
          </w:p>
        </w:tc>
        <w:tc>
          <w:tcPr>
            <w:tcW w:w="294" w:type="pct"/>
            <w:tcBorders>
              <w:top w:val="nil"/>
              <w:bottom w:val="nil"/>
            </w:tcBorders>
            <w:shd w:val="clear" w:color="auto" w:fill="FFFFFF"/>
          </w:tcPr>
          <w:p w14:paraId="2503F42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4.00</w:t>
            </w:r>
          </w:p>
        </w:tc>
        <w:tc>
          <w:tcPr>
            <w:tcW w:w="294" w:type="pct"/>
            <w:tcBorders>
              <w:top w:val="nil"/>
              <w:bottom w:val="nil"/>
            </w:tcBorders>
            <w:shd w:val="clear" w:color="auto" w:fill="FFFFFF"/>
          </w:tcPr>
          <w:p w14:paraId="3B5A796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5.00</w:t>
            </w:r>
          </w:p>
        </w:tc>
        <w:tc>
          <w:tcPr>
            <w:tcW w:w="294" w:type="pct"/>
            <w:tcBorders>
              <w:top w:val="nil"/>
              <w:bottom w:val="nil"/>
              <w:right w:val="single" w:color="000000" w:sz="16" w:space="0"/>
            </w:tcBorders>
            <w:shd w:val="clear" w:color="auto" w:fill="FFFFFF"/>
          </w:tcPr>
          <w:p w14:paraId="78A8748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4.00</w:t>
            </w:r>
          </w:p>
        </w:tc>
      </w:tr>
      <w:tr w14:paraId="1A0191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588" w:type="pct"/>
            <w:gridSpan w:val="2"/>
            <w:tcBorders>
              <w:top w:val="nil"/>
              <w:left w:val="single" w:color="000000" w:sz="16" w:space="0"/>
              <w:bottom w:val="nil"/>
              <w:right w:val="nil"/>
            </w:tcBorders>
            <w:shd w:val="clear" w:color="auto" w:fill="FFFFFF"/>
            <w:vAlign w:val="center"/>
          </w:tcPr>
          <w:p w14:paraId="6EACAA4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Mode</w:t>
            </w:r>
          </w:p>
        </w:tc>
        <w:tc>
          <w:tcPr>
            <w:tcW w:w="294" w:type="pct"/>
            <w:tcBorders>
              <w:top w:val="nil"/>
              <w:left w:val="single" w:color="000000" w:sz="16" w:space="0"/>
              <w:bottom w:val="nil"/>
            </w:tcBorders>
            <w:shd w:val="clear" w:color="auto" w:fill="FFFFFF"/>
          </w:tcPr>
          <w:p w14:paraId="76888D9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4</w:t>
            </w:r>
          </w:p>
        </w:tc>
        <w:tc>
          <w:tcPr>
            <w:tcW w:w="294" w:type="pct"/>
            <w:tcBorders>
              <w:top w:val="nil"/>
              <w:bottom w:val="nil"/>
            </w:tcBorders>
            <w:shd w:val="clear" w:color="auto" w:fill="FFFFFF"/>
          </w:tcPr>
          <w:p w14:paraId="1E15E8D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5</w:t>
            </w:r>
          </w:p>
        </w:tc>
        <w:tc>
          <w:tcPr>
            <w:tcW w:w="294" w:type="pct"/>
            <w:tcBorders>
              <w:top w:val="nil"/>
              <w:bottom w:val="nil"/>
            </w:tcBorders>
            <w:shd w:val="clear" w:color="auto" w:fill="FFFFFF"/>
          </w:tcPr>
          <w:p w14:paraId="622BD02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4</w:t>
            </w:r>
          </w:p>
        </w:tc>
        <w:tc>
          <w:tcPr>
            <w:tcW w:w="294" w:type="pct"/>
            <w:tcBorders>
              <w:top w:val="nil"/>
              <w:bottom w:val="nil"/>
            </w:tcBorders>
            <w:shd w:val="clear" w:color="auto" w:fill="FFFFFF"/>
          </w:tcPr>
          <w:p w14:paraId="5B97ECE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5</w:t>
            </w:r>
          </w:p>
        </w:tc>
        <w:tc>
          <w:tcPr>
            <w:tcW w:w="294" w:type="pct"/>
            <w:tcBorders>
              <w:top w:val="nil"/>
              <w:bottom w:val="nil"/>
            </w:tcBorders>
            <w:shd w:val="clear" w:color="auto" w:fill="FFFFFF"/>
          </w:tcPr>
          <w:p w14:paraId="67232EE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4</w:t>
            </w:r>
          </w:p>
        </w:tc>
        <w:tc>
          <w:tcPr>
            <w:tcW w:w="294" w:type="pct"/>
            <w:tcBorders>
              <w:top w:val="nil"/>
              <w:bottom w:val="nil"/>
            </w:tcBorders>
            <w:shd w:val="clear" w:color="auto" w:fill="FFFFFF"/>
          </w:tcPr>
          <w:p w14:paraId="308A156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5</w:t>
            </w:r>
          </w:p>
        </w:tc>
        <w:tc>
          <w:tcPr>
            <w:tcW w:w="294" w:type="pct"/>
            <w:tcBorders>
              <w:top w:val="nil"/>
              <w:bottom w:val="nil"/>
            </w:tcBorders>
            <w:shd w:val="clear" w:color="auto" w:fill="FFFFFF"/>
          </w:tcPr>
          <w:p w14:paraId="2D3A2BA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4</w:t>
            </w:r>
          </w:p>
        </w:tc>
        <w:tc>
          <w:tcPr>
            <w:tcW w:w="294" w:type="pct"/>
            <w:tcBorders>
              <w:top w:val="nil"/>
              <w:bottom w:val="nil"/>
            </w:tcBorders>
            <w:shd w:val="clear" w:color="auto" w:fill="FFFFFF"/>
          </w:tcPr>
          <w:p w14:paraId="013F14B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5</w:t>
            </w:r>
          </w:p>
        </w:tc>
        <w:tc>
          <w:tcPr>
            <w:tcW w:w="294" w:type="pct"/>
            <w:tcBorders>
              <w:top w:val="nil"/>
              <w:bottom w:val="nil"/>
            </w:tcBorders>
            <w:shd w:val="clear" w:color="auto" w:fill="FFFFFF"/>
          </w:tcPr>
          <w:p w14:paraId="3840257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4</w:t>
            </w:r>
          </w:p>
        </w:tc>
        <w:tc>
          <w:tcPr>
            <w:tcW w:w="294" w:type="pct"/>
            <w:tcBorders>
              <w:top w:val="nil"/>
              <w:bottom w:val="nil"/>
            </w:tcBorders>
            <w:shd w:val="clear" w:color="auto" w:fill="FFFFFF"/>
          </w:tcPr>
          <w:p w14:paraId="7BF826E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5</w:t>
            </w:r>
          </w:p>
        </w:tc>
        <w:tc>
          <w:tcPr>
            <w:tcW w:w="294" w:type="pct"/>
            <w:tcBorders>
              <w:top w:val="nil"/>
              <w:bottom w:val="nil"/>
            </w:tcBorders>
            <w:shd w:val="clear" w:color="auto" w:fill="FFFFFF"/>
          </w:tcPr>
          <w:p w14:paraId="5B3983D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4</w:t>
            </w:r>
          </w:p>
        </w:tc>
        <w:tc>
          <w:tcPr>
            <w:tcW w:w="294" w:type="pct"/>
            <w:tcBorders>
              <w:top w:val="nil"/>
              <w:bottom w:val="nil"/>
            </w:tcBorders>
            <w:shd w:val="clear" w:color="auto" w:fill="FFFFFF"/>
          </w:tcPr>
          <w:p w14:paraId="10CF1FF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5</w:t>
            </w:r>
          </w:p>
        </w:tc>
        <w:tc>
          <w:tcPr>
            <w:tcW w:w="294" w:type="pct"/>
            <w:tcBorders>
              <w:top w:val="nil"/>
              <w:bottom w:val="nil"/>
            </w:tcBorders>
            <w:shd w:val="clear" w:color="auto" w:fill="FFFFFF"/>
          </w:tcPr>
          <w:p w14:paraId="2589C8A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4</w:t>
            </w:r>
          </w:p>
        </w:tc>
        <w:tc>
          <w:tcPr>
            <w:tcW w:w="294" w:type="pct"/>
            <w:tcBorders>
              <w:top w:val="nil"/>
              <w:bottom w:val="nil"/>
            </w:tcBorders>
            <w:shd w:val="clear" w:color="auto" w:fill="FFFFFF"/>
          </w:tcPr>
          <w:p w14:paraId="56F2D9B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5</w:t>
            </w:r>
          </w:p>
        </w:tc>
        <w:tc>
          <w:tcPr>
            <w:tcW w:w="294" w:type="pct"/>
            <w:tcBorders>
              <w:top w:val="nil"/>
              <w:bottom w:val="nil"/>
              <w:right w:val="single" w:color="000000" w:sz="16" w:space="0"/>
            </w:tcBorders>
            <w:shd w:val="clear" w:color="auto" w:fill="FFFFFF"/>
          </w:tcPr>
          <w:p w14:paraId="569CB78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4</w:t>
            </w:r>
          </w:p>
        </w:tc>
      </w:tr>
      <w:tr w14:paraId="2A27D3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588" w:type="pct"/>
            <w:gridSpan w:val="2"/>
            <w:tcBorders>
              <w:top w:val="nil"/>
              <w:left w:val="single" w:color="000000" w:sz="16" w:space="0"/>
              <w:bottom w:val="nil"/>
              <w:right w:val="nil"/>
            </w:tcBorders>
            <w:shd w:val="clear" w:color="auto" w:fill="FFFFFF"/>
            <w:vAlign w:val="center"/>
          </w:tcPr>
          <w:p w14:paraId="1322C1C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Std. Deviation</w:t>
            </w:r>
          </w:p>
        </w:tc>
        <w:tc>
          <w:tcPr>
            <w:tcW w:w="294" w:type="pct"/>
            <w:tcBorders>
              <w:top w:val="nil"/>
              <w:left w:val="single" w:color="000000" w:sz="16" w:space="0"/>
              <w:bottom w:val="nil"/>
            </w:tcBorders>
            <w:shd w:val="clear" w:color="auto" w:fill="FFFFFF"/>
          </w:tcPr>
          <w:p w14:paraId="7510896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1.495</w:t>
            </w:r>
          </w:p>
        </w:tc>
        <w:tc>
          <w:tcPr>
            <w:tcW w:w="294" w:type="pct"/>
            <w:tcBorders>
              <w:top w:val="nil"/>
              <w:bottom w:val="nil"/>
            </w:tcBorders>
            <w:shd w:val="clear" w:color="auto" w:fill="FFFFFF"/>
          </w:tcPr>
          <w:p w14:paraId="6BC9871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1.501</w:t>
            </w:r>
          </w:p>
        </w:tc>
        <w:tc>
          <w:tcPr>
            <w:tcW w:w="294" w:type="pct"/>
            <w:tcBorders>
              <w:top w:val="nil"/>
              <w:bottom w:val="nil"/>
            </w:tcBorders>
            <w:shd w:val="clear" w:color="auto" w:fill="FFFFFF"/>
          </w:tcPr>
          <w:p w14:paraId="43EC29A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1.264</w:t>
            </w:r>
          </w:p>
        </w:tc>
        <w:tc>
          <w:tcPr>
            <w:tcW w:w="294" w:type="pct"/>
            <w:tcBorders>
              <w:top w:val="nil"/>
              <w:bottom w:val="nil"/>
            </w:tcBorders>
            <w:shd w:val="clear" w:color="auto" w:fill="FFFFFF"/>
          </w:tcPr>
          <w:p w14:paraId="2BDF181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1.801</w:t>
            </w:r>
          </w:p>
        </w:tc>
        <w:tc>
          <w:tcPr>
            <w:tcW w:w="294" w:type="pct"/>
            <w:tcBorders>
              <w:top w:val="nil"/>
              <w:bottom w:val="nil"/>
            </w:tcBorders>
            <w:shd w:val="clear" w:color="auto" w:fill="FFFFFF"/>
          </w:tcPr>
          <w:p w14:paraId="3F934CD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1.265</w:t>
            </w:r>
          </w:p>
        </w:tc>
        <w:tc>
          <w:tcPr>
            <w:tcW w:w="294" w:type="pct"/>
            <w:tcBorders>
              <w:top w:val="nil"/>
              <w:bottom w:val="nil"/>
            </w:tcBorders>
            <w:shd w:val="clear" w:color="auto" w:fill="FFFFFF"/>
          </w:tcPr>
          <w:p w14:paraId="3A5C391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1.799</w:t>
            </w:r>
          </w:p>
        </w:tc>
        <w:tc>
          <w:tcPr>
            <w:tcW w:w="294" w:type="pct"/>
            <w:tcBorders>
              <w:top w:val="nil"/>
              <w:bottom w:val="nil"/>
            </w:tcBorders>
            <w:shd w:val="clear" w:color="auto" w:fill="FFFFFF"/>
          </w:tcPr>
          <w:p w14:paraId="59D29CD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1.264</w:t>
            </w:r>
          </w:p>
        </w:tc>
        <w:tc>
          <w:tcPr>
            <w:tcW w:w="294" w:type="pct"/>
            <w:tcBorders>
              <w:top w:val="nil"/>
              <w:bottom w:val="nil"/>
            </w:tcBorders>
            <w:shd w:val="clear" w:color="auto" w:fill="FFFFFF"/>
          </w:tcPr>
          <w:p w14:paraId="3D3C634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1.804</w:t>
            </w:r>
          </w:p>
        </w:tc>
        <w:tc>
          <w:tcPr>
            <w:tcW w:w="294" w:type="pct"/>
            <w:tcBorders>
              <w:top w:val="nil"/>
              <w:bottom w:val="nil"/>
            </w:tcBorders>
            <w:shd w:val="clear" w:color="auto" w:fill="FFFFFF"/>
          </w:tcPr>
          <w:p w14:paraId="3BF0CF6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1.264</w:t>
            </w:r>
          </w:p>
        </w:tc>
        <w:tc>
          <w:tcPr>
            <w:tcW w:w="294" w:type="pct"/>
            <w:tcBorders>
              <w:top w:val="nil"/>
              <w:bottom w:val="nil"/>
            </w:tcBorders>
            <w:shd w:val="clear" w:color="auto" w:fill="FFFFFF"/>
          </w:tcPr>
          <w:p w14:paraId="1648A97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1.495</w:t>
            </w:r>
          </w:p>
        </w:tc>
        <w:tc>
          <w:tcPr>
            <w:tcW w:w="294" w:type="pct"/>
            <w:tcBorders>
              <w:top w:val="nil"/>
              <w:bottom w:val="nil"/>
            </w:tcBorders>
            <w:shd w:val="clear" w:color="auto" w:fill="FFFFFF"/>
          </w:tcPr>
          <w:p w14:paraId="3897AD3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1.496</w:t>
            </w:r>
          </w:p>
        </w:tc>
        <w:tc>
          <w:tcPr>
            <w:tcW w:w="294" w:type="pct"/>
            <w:tcBorders>
              <w:top w:val="nil"/>
              <w:bottom w:val="nil"/>
            </w:tcBorders>
            <w:shd w:val="clear" w:color="auto" w:fill="FFFFFF"/>
          </w:tcPr>
          <w:p w14:paraId="22C0CD4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1.484</w:t>
            </w:r>
          </w:p>
        </w:tc>
        <w:tc>
          <w:tcPr>
            <w:tcW w:w="294" w:type="pct"/>
            <w:tcBorders>
              <w:top w:val="nil"/>
              <w:bottom w:val="nil"/>
            </w:tcBorders>
            <w:shd w:val="clear" w:color="auto" w:fill="FFFFFF"/>
          </w:tcPr>
          <w:p w14:paraId="2D6D90E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1.493</w:t>
            </w:r>
          </w:p>
        </w:tc>
        <w:tc>
          <w:tcPr>
            <w:tcW w:w="294" w:type="pct"/>
            <w:tcBorders>
              <w:top w:val="nil"/>
              <w:bottom w:val="nil"/>
            </w:tcBorders>
            <w:shd w:val="clear" w:color="auto" w:fill="FFFFFF"/>
          </w:tcPr>
          <w:p w14:paraId="6486DF1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1.495</w:t>
            </w:r>
          </w:p>
        </w:tc>
        <w:tc>
          <w:tcPr>
            <w:tcW w:w="294" w:type="pct"/>
            <w:tcBorders>
              <w:top w:val="nil"/>
              <w:bottom w:val="nil"/>
              <w:right w:val="single" w:color="000000" w:sz="16" w:space="0"/>
            </w:tcBorders>
            <w:shd w:val="clear" w:color="auto" w:fill="FFFFFF"/>
          </w:tcPr>
          <w:p w14:paraId="7456609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1.495</w:t>
            </w:r>
          </w:p>
        </w:tc>
      </w:tr>
      <w:tr w14:paraId="22568D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588" w:type="pct"/>
            <w:gridSpan w:val="2"/>
            <w:tcBorders>
              <w:top w:val="nil"/>
              <w:left w:val="single" w:color="000000" w:sz="16" w:space="0"/>
              <w:bottom w:val="nil"/>
              <w:right w:val="nil"/>
            </w:tcBorders>
            <w:shd w:val="clear" w:color="auto" w:fill="FFFFFF"/>
            <w:vAlign w:val="center"/>
          </w:tcPr>
          <w:p w14:paraId="6A67C44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Variance</w:t>
            </w:r>
          </w:p>
        </w:tc>
        <w:tc>
          <w:tcPr>
            <w:tcW w:w="294" w:type="pct"/>
            <w:tcBorders>
              <w:top w:val="nil"/>
              <w:left w:val="single" w:color="000000" w:sz="16" w:space="0"/>
              <w:bottom w:val="nil"/>
            </w:tcBorders>
            <w:shd w:val="clear" w:color="auto" w:fill="FFFFFF"/>
          </w:tcPr>
          <w:p w14:paraId="2D7ED15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2.236</w:t>
            </w:r>
          </w:p>
        </w:tc>
        <w:tc>
          <w:tcPr>
            <w:tcW w:w="294" w:type="pct"/>
            <w:tcBorders>
              <w:top w:val="nil"/>
              <w:bottom w:val="nil"/>
            </w:tcBorders>
            <w:shd w:val="clear" w:color="auto" w:fill="FFFFFF"/>
          </w:tcPr>
          <w:p w14:paraId="555B168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2.254</w:t>
            </w:r>
          </w:p>
        </w:tc>
        <w:tc>
          <w:tcPr>
            <w:tcW w:w="294" w:type="pct"/>
            <w:tcBorders>
              <w:top w:val="nil"/>
              <w:bottom w:val="nil"/>
            </w:tcBorders>
            <w:shd w:val="clear" w:color="auto" w:fill="FFFFFF"/>
          </w:tcPr>
          <w:p w14:paraId="392818B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1.597</w:t>
            </w:r>
          </w:p>
        </w:tc>
        <w:tc>
          <w:tcPr>
            <w:tcW w:w="294" w:type="pct"/>
            <w:tcBorders>
              <w:top w:val="nil"/>
              <w:bottom w:val="nil"/>
            </w:tcBorders>
            <w:shd w:val="clear" w:color="auto" w:fill="FFFFFF"/>
          </w:tcPr>
          <w:p w14:paraId="133D2CC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3.245</w:t>
            </w:r>
          </w:p>
        </w:tc>
        <w:tc>
          <w:tcPr>
            <w:tcW w:w="294" w:type="pct"/>
            <w:tcBorders>
              <w:top w:val="nil"/>
              <w:bottom w:val="nil"/>
            </w:tcBorders>
            <w:shd w:val="clear" w:color="auto" w:fill="FFFFFF"/>
          </w:tcPr>
          <w:p w14:paraId="035CDAE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1.600</w:t>
            </w:r>
          </w:p>
        </w:tc>
        <w:tc>
          <w:tcPr>
            <w:tcW w:w="294" w:type="pct"/>
            <w:tcBorders>
              <w:top w:val="nil"/>
              <w:bottom w:val="nil"/>
            </w:tcBorders>
            <w:shd w:val="clear" w:color="auto" w:fill="FFFFFF"/>
          </w:tcPr>
          <w:p w14:paraId="1330571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3.236</w:t>
            </w:r>
          </w:p>
        </w:tc>
        <w:tc>
          <w:tcPr>
            <w:tcW w:w="294" w:type="pct"/>
            <w:tcBorders>
              <w:top w:val="nil"/>
              <w:bottom w:val="nil"/>
            </w:tcBorders>
            <w:shd w:val="clear" w:color="auto" w:fill="FFFFFF"/>
          </w:tcPr>
          <w:p w14:paraId="7DD9C74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1.597</w:t>
            </w:r>
          </w:p>
        </w:tc>
        <w:tc>
          <w:tcPr>
            <w:tcW w:w="294" w:type="pct"/>
            <w:tcBorders>
              <w:top w:val="nil"/>
              <w:bottom w:val="nil"/>
            </w:tcBorders>
            <w:shd w:val="clear" w:color="auto" w:fill="FFFFFF"/>
          </w:tcPr>
          <w:p w14:paraId="7B3AE19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3.256</w:t>
            </w:r>
          </w:p>
        </w:tc>
        <w:tc>
          <w:tcPr>
            <w:tcW w:w="294" w:type="pct"/>
            <w:tcBorders>
              <w:top w:val="nil"/>
              <w:bottom w:val="nil"/>
            </w:tcBorders>
            <w:shd w:val="clear" w:color="auto" w:fill="FFFFFF"/>
          </w:tcPr>
          <w:p w14:paraId="1EF5DB7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1.597</w:t>
            </w:r>
          </w:p>
        </w:tc>
        <w:tc>
          <w:tcPr>
            <w:tcW w:w="294" w:type="pct"/>
            <w:tcBorders>
              <w:top w:val="nil"/>
              <w:bottom w:val="nil"/>
            </w:tcBorders>
            <w:shd w:val="clear" w:color="auto" w:fill="FFFFFF"/>
          </w:tcPr>
          <w:p w14:paraId="47824A4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2.236</w:t>
            </w:r>
          </w:p>
        </w:tc>
        <w:tc>
          <w:tcPr>
            <w:tcW w:w="294" w:type="pct"/>
            <w:tcBorders>
              <w:top w:val="nil"/>
              <w:bottom w:val="nil"/>
            </w:tcBorders>
            <w:shd w:val="clear" w:color="auto" w:fill="FFFFFF"/>
          </w:tcPr>
          <w:p w14:paraId="5C1951C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2.239</w:t>
            </w:r>
          </w:p>
        </w:tc>
        <w:tc>
          <w:tcPr>
            <w:tcW w:w="294" w:type="pct"/>
            <w:tcBorders>
              <w:top w:val="nil"/>
              <w:bottom w:val="nil"/>
            </w:tcBorders>
            <w:shd w:val="clear" w:color="auto" w:fill="FFFFFF"/>
          </w:tcPr>
          <w:p w14:paraId="02606C1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2.203</w:t>
            </w:r>
          </w:p>
        </w:tc>
        <w:tc>
          <w:tcPr>
            <w:tcW w:w="294" w:type="pct"/>
            <w:tcBorders>
              <w:top w:val="nil"/>
              <w:bottom w:val="nil"/>
            </w:tcBorders>
            <w:shd w:val="clear" w:color="auto" w:fill="FFFFFF"/>
          </w:tcPr>
          <w:p w14:paraId="518D75E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2.230</w:t>
            </w:r>
          </w:p>
        </w:tc>
        <w:tc>
          <w:tcPr>
            <w:tcW w:w="294" w:type="pct"/>
            <w:tcBorders>
              <w:top w:val="nil"/>
              <w:bottom w:val="nil"/>
            </w:tcBorders>
            <w:shd w:val="clear" w:color="auto" w:fill="FFFFFF"/>
          </w:tcPr>
          <w:p w14:paraId="007C15D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2.236</w:t>
            </w:r>
          </w:p>
        </w:tc>
        <w:tc>
          <w:tcPr>
            <w:tcW w:w="294" w:type="pct"/>
            <w:tcBorders>
              <w:top w:val="nil"/>
              <w:bottom w:val="nil"/>
              <w:right w:val="single" w:color="000000" w:sz="16" w:space="0"/>
            </w:tcBorders>
            <w:shd w:val="clear" w:color="auto" w:fill="FFFFFF"/>
          </w:tcPr>
          <w:p w14:paraId="23B2C9E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2.236</w:t>
            </w:r>
          </w:p>
        </w:tc>
      </w:tr>
      <w:tr w14:paraId="1D299E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588" w:type="pct"/>
            <w:gridSpan w:val="2"/>
            <w:tcBorders>
              <w:top w:val="nil"/>
              <w:left w:val="single" w:color="000000" w:sz="16" w:space="0"/>
              <w:bottom w:val="nil"/>
              <w:right w:val="nil"/>
            </w:tcBorders>
            <w:shd w:val="clear" w:color="auto" w:fill="FFFFFF"/>
            <w:vAlign w:val="center"/>
          </w:tcPr>
          <w:p w14:paraId="66A6BF1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Kurtosis</w:t>
            </w:r>
          </w:p>
        </w:tc>
        <w:tc>
          <w:tcPr>
            <w:tcW w:w="294" w:type="pct"/>
            <w:tcBorders>
              <w:top w:val="nil"/>
              <w:left w:val="single" w:color="000000" w:sz="16" w:space="0"/>
              <w:bottom w:val="nil"/>
            </w:tcBorders>
            <w:shd w:val="clear" w:color="auto" w:fill="FFFFFF"/>
          </w:tcPr>
          <w:p w14:paraId="2D9265C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-1.974</w:t>
            </w:r>
          </w:p>
        </w:tc>
        <w:tc>
          <w:tcPr>
            <w:tcW w:w="294" w:type="pct"/>
            <w:tcBorders>
              <w:top w:val="nil"/>
              <w:bottom w:val="nil"/>
            </w:tcBorders>
            <w:shd w:val="clear" w:color="auto" w:fill="FFFFFF"/>
          </w:tcPr>
          <w:p w14:paraId="7DAE25D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-1.966</w:t>
            </w:r>
          </w:p>
        </w:tc>
        <w:tc>
          <w:tcPr>
            <w:tcW w:w="294" w:type="pct"/>
            <w:tcBorders>
              <w:top w:val="nil"/>
              <w:bottom w:val="nil"/>
            </w:tcBorders>
            <w:shd w:val="clear" w:color="auto" w:fill="FFFFFF"/>
          </w:tcPr>
          <w:p w14:paraId="5ABD6AA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-1.595</w:t>
            </w:r>
          </w:p>
        </w:tc>
        <w:tc>
          <w:tcPr>
            <w:tcW w:w="294" w:type="pct"/>
            <w:tcBorders>
              <w:top w:val="nil"/>
              <w:bottom w:val="nil"/>
            </w:tcBorders>
            <w:shd w:val="clear" w:color="auto" w:fill="FFFFFF"/>
          </w:tcPr>
          <w:p w14:paraId="3D4A378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-1.803</w:t>
            </w:r>
          </w:p>
        </w:tc>
        <w:tc>
          <w:tcPr>
            <w:tcW w:w="294" w:type="pct"/>
            <w:tcBorders>
              <w:top w:val="nil"/>
              <w:bottom w:val="nil"/>
            </w:tcBorders>
            <w:shd w:val="clear" w:color="auto" w:fill="FFFFFF"/>
          </w:tcPr>
          <w:p w14:paraId="43F546E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-1.604</w:t>
            </w:r>
          </w:p>
        </w:tc>
        <w:tc>
          <w:tcPr>
            <w:tcW w:w="294" w:type="pct"/>
            <w:tcBorders>
              <w:top w:val="nil"/>
              <w:bottom w:val="nil"/>
            </w:tcBorders>
            <w:shd w:val="clear" w:color="auto" w:fill="FFFFFF"/>
          </w:tcPr>
          <w:p w14:paraId="0D45F56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-1.804</w:t>
            </w:r>
          </w:p>
        </w:tc>
        <w:tc>
          <w:tcPr>
            <w:tcW w:w="294" w:type="pct"/>
            <w:tcBorders>
              <w:top w:val="nil"/>
              <w:bottom w:val="nil"/>
            </w:tcBorders>
            <w:shd w:val="clear" w:color="auto" w:fill="FFFFFF"/>
          </w:tcPr>
          <w:p w14:paraId="496DB71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-1.595</w:t>
            </w:r>
          </w:p>
        </w:tc>
        <w:tc>
          <w:tcPr>
            <w:tcW w:w="294" w:type="pct"/>
            <w:tcBorders>
              <w:top w:val="nil"/>
              <w:bottom w:val="nil"/>
            </w:tcBorders>
            <w:shd w:val="clear" w:color="auto" w:fill="FFFFFF"/>
          </w:tcPr>
          <w:p w14:paraId="1114360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-1.812</w:t>
            </w:r>
          </w:p>
        </w:tc>
        <w:tc>
          <w:tcPr>
            <w:tcW w:w="294" w:type="pct"/>
            <w:tcBorders>
              <w:top w:val="nil"/>
              <w:bottom w:val="nil"/>
            </w:tcBorders>
            <w:shd w:val="clear" w:color="auto" w:fill="FFFFFF"/>
          </w:tcPr>
          <w:p w14:paraId="346C6A1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-1.595</w:t>
            </w:r>
          </w:p>
        </w:tc>
        <w:tc>
          <w:tcPr>
            <w:tcW w:w="294" w:type="pct"/>
            <w:tcBorders>
              <w:top w:val="nil"/>
              <w:bottom w:val="nil"/>
            </w:tcBorders>
            <w:shd w:val="clear" w:color="auto" w:fill="FFFFFF"/>
          </w:tcPr>
          <w:p w14:paraId="3EBC8E6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-1.974</w:t>
            </w:r>
          </w:p>
        </w:tc>
        <w:tc>
          <w:tcPr>
            <w:tcW w:w="294" w:type="pct"/>
            <w:tcBorders>
              <w:top w:val="nil"/>
              <w:bottom w:val="nil"/>
            </w:tcBorders>
            <w:shd w:val="clear" w:color="auto" w:fill="FFFFFF"/>
          </w:tcPr>
          <w:p w14:paraId="6951AC2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-1.979</w:t>
            </w:r>
          </w:p>
        </w:tc>
        <w:tc>
          <w:tcPr>
            <w:tcW w:w="294" w:type="pct"/>
            <w:tcBorders>
              <w:top w:val="nil"/>
              <w:bottom w:val="nil"/>
            </w:tcBorders>
            <w:shd w:val="clear" w:color="auto" w:fill="FFFFFF"/>
          </w:tcPr>
          <w:p w14:paraId="03C3C78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-1.952</w:t>
            </w:r>
          </w:p>
        </w:tc>
        <w:tc>
          <w:tcPr>
            <w:tcW w:w="294" w:type="pct"/>
            <w:tcBorders>
              <w:top w:val="nil"/>
              <w:bottom w:val="nil"/>
            </w:tcBorders>
            <w:shd w:val="clear" w:color="auto" w:fill="FFFFFF"/>
          </w:tcPr>
          <w:p w14:paraId="76219EC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-1.972</w:t>
            </w:r>
          </w:p>
        </w:tc>
        <w:tc>
          <w:tcPr>
            <w:tcW w:w="294" w:type="pct"/>
            <w:tcBorders>
              <w:top w:val="nil"/>
              <w:bottom w:val="nil"/>
            </w:tcBorders>
            <w:shd w:val="clear" w:color="auto" w:fill="FFFFFF"/>
          </w:tcPr>
          <w:p w14:paraId="14B0E42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-1.974</w:t>
            </w:r>
          </w:p>
        </w:tc>
        <w:tc>
          <w:tcPr>
            <w:tcW w:w="294" w:type="pct"/>
            <w:tcBorders>
              <w:top w:val="nil"/>
              <w:bottom w:val="nil"/>
              <w:right w:val="single" w:color="000000" w:sz="16" w:space="0"/>
            </w:tcBorders>
            <w:shd w:val="clear" w:color="auto" w:fill="FFFFFF"/>
          </w:tcPr>
          <w:p w14:paraId="55D75A9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-1.974</w:t>
            </w:r>
          </w:p>
        </w:tc>
      </w:tr>
      <w:tr w14:paraId="26D4FC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588" w:type="pct"/>
            <w:gridSpan w:val="2"/>
            <w:tcBorders>
              <w:top w:val="nil"/>
              <w:left w:val="single" w:color="000000" w:sz="16" w:space="0"/>
              <w:bottom w:val="single" w:color="000000" w:sz="16" w:space="0"/>
              <w:right w:val="nil"/>
            </w:tcBorders>
            <w:shd w:val="clear" w:color="auto" w:fill="FFFFFF"/>
            <w:vAlign w:val="center"/>
          </w:tcPr>
          <w:p w14:paraId="6BC72D0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Std. Error of Kurtosis</w:t>
            </w:r>
          </w:p>
        </w:tc>
        <w:tc>
          <w:tcPr>
            <w:tcW w:w="294" w:type="pct"/>
            <w:tcBorders>
              <w:top w:val="nil"/>
              <w:left w:val="single" w:color="000000" w:sz="16" w:space="0"/>
              <w:bottom w:val="single" w:color="000000" w:sz="16" w:space="0"/>
            </w:tcBorders>
            <w:shd w:val="clear" w:color="auto" w:fill="FFFFFF"/>
          </w:tcPr>
          <w:p w14:paraId="492B549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.289</w:t>
            </w:r>
          </w:p>
        </w:tc>
        <w:tc>
          <w:tcPr>
            <w:tcW w:w="294" w:type="pct"/>
            <w:tcBorders>
              <w:top w:val="nil"/>
              <w:bottom w:val="single" w:color="000000" w:sz="16" w:space="0"/>
            </w:tcBorders>
            <w:shd w:val="clear" w:color="auto" w:fill="FFFFFF"/>
          </w:tcPr>
          <w:p w14:paraId="69296A9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.289</w:t>
            </w:r>
          </w:p>
        </w:tc>
        <w:tc>
          <w:tcPr>
            <w:tcW w:w="294" w:type="pct"/>
            <w:tcBorders>
              <w:top w:val="nil"/>
              <w:bottom w:val="single" w:color="000000" w:sz="16" w:space="0"/>
            </w:tcBorders>
            <w:shd w:val="clear" w:color="auto" w:fill="FFFFFF"/>
          </w:tcPr>
          <w:p w14:paraId="60A61A2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.289</w:t>
            </w:r>
          </w:p>
        </w:tc>
        <w:tc>
          <w:tcPr>
            <w:tcW w:w="294" w:type="pct"/>
            <w:tcBorders>
              <w:top w:val="nil"/>
              <w:bottom w:val="single" w:color="000000" w:sz="16" w:space="0"/>
            </w:tcBorders>
            <w:shd w:val="clear" w:color="auto" w:fill="FFFFFF"/>
          </w:tcPr>
          <w:p w14:paraId="706FED0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.289</w:t>
            </w:r>
          </w:p>
        </w:tc>
        <w:tc>
          <w:tcPr>
            <w:tcW w:w="294" w:type="pct"/>
            <w:tcBorders>
              <w:top w:val="nil"/>
              <w:bottom w:val="single" w:color="000000" w:sz="16" w:space="0"/>
            </w:tcBorders>
            <w:shd w:val="clear" w:color="auto" w:fill="FFFFFF"/>
          </w:tcPr>
          <w:p w14:paraId="03878E3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.289</w:t>
            </w:r>
          </w:p>
        </w:tc>
        <w:tc>
          <w:tcPr>
            <w:tcW w:w="294" w:type="pct"/>
            <w:tcBorders>
              <w:top w:val="nil"/>
              <w:bottom w:val="single" w:color="000000" w:sz="16" w:space="0"/>
            </w:tcBorders>
            <w:shd w:val="clear" w:color="auto" w:fill="FFFFFF"/>
          </w:tcPr>
          <w:p w14:paraId="78738DB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.289</w:t>
            </w:r>
          </w:p>
        </w:tc>
        <w:tc>
          <w:tcPr>
            <w:tcW w:w="294" w:type="pct"/>
            <w:tcBorders>
              <w:top w:val="nil"/>
              <w:bottom w:val="single" w:color="000000" w:sz="16" w:space="0"/>
            </w:tcBorders>
            <w:shd w:val="clear" w:color="auto" w:fill="FFFFFF"/>
          </w:tcPr>
          <w:p w14:paraId="4ED1443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.289</w:t>
            </w:r>
          </w:p>
        </w:tc>
        <w:tc>
          <w:tcPr>
            <w:tcW w:w="294" w:type="pct"/>
            <w:tcBorders>
              <w:top w:val="nil"/>
              <w:bottom w:val="single" w:color="000000" w:sz="16" w:space="0"/>
            </w:tcBorders>
            <w:shd w:val="clear" w:color="auto" w:fill="FFFFFF"/>
          </w:tcPr>
          <w:p w14:paraId="0699463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.289</w:t>
            </w:r>
          </w:p>
        </w:tc>
        <w:tc>
          <w:tcPr>
            <w:tcW w:w="294" w:type="pct"/>
            <w:tcBorders>
              <w:top w:val="nil"/>
              <w:bottom w:val="single" w:color="000000" w:sz="16" w:space="0"/>
            </w:tcBorders>
            <w:shd w:val="clear" w:color="auto" w:fill="FFFFFF"/>
          </w:tcPr>
          <w:p w14:paraId="01349B7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.289</w:t>
            </w:r>
          </w:p>
        </w:tc>
        <w:tc>
          <w:tcPr>
            <w:tcW w:w="294" w:type="pct"/>
            <w:tcBorders>
              <w:top w:val="nil"/>
              <w:bottom w:val="single" w:color="000000" w:sz="16" w:space="0"/>
            </w:tcBorders>
            <w:shd w:val="clear" w:color="auto" w:fill="FFFFFF"/>
          </w:tcPr>
          <w:p w14:paraId="3E71662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.289</w:t>
            </w:r>
          </w:p>
        </w:tc>
        <w:tc>
          <w:tcPr>
            <w:tcW w:w="294" w:type="pct"/>
            <w:tcBorders>
              <w:top w:val="nil"/>
              <w:bottom w:val="single" w:color="000000" w:sz="16" w:space="0"/>
            </w:tcBorders>
            <w:shd w:val="clear" w:color="auto" w:fill="FFFFFF"/>
          </w:tcPr>
          <w:p w14:paraId="11CA9BC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.289</w:t>
            </w:r>
          </w:p>
        </w:tc>
        <w:tc>
          <w:tcPr>
            <w:tcW w:w="294" w:type="pct"/>
            <w:tcBorders>
              <w:top w:val="nil"/>
              <w:bottom w:val="single" w:color="000000" w:sz="16" w:space="0"/>
            </w:tcBorders>
            <w:shd w:val="clear" w:color="auto" w:fill="FFFFFF"/>
          </w:tcPr>
          <w:p w14:paraId="7A763DD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.286</w:t>
            </w:r>
          </w:p>
        </w:tc>
        <w:tc>
          <w:tcPr>
            <w:tcW w:w="294" w:type="pct"/>
            <w:tcBorders>
              <w:top w:val="nil"/>
              <w:bottom w:val="single" w:color="000000" w:sz="16" w:space="0"/>
            </w:tcBorders>
            <w:shd w:val="clear" w:color="auto" w:fill="FFFFFF"/>
          </w:tcPr>
          <w:p w14:paraId="0715ED9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.289</w:t>
            </w:r>
          </w:p>
        </w:tc>
        <w:tc>
          <w:tcPr>
            <w:tcW w:w="294" w:type="pct"/>
            <w:tcBorders>
              <w:top w:val="nil"/>
              <w:bottom w:val="single" w:color="000000" w:sz="16" w:space="0"/>
            </w:tcBorders>
            <w:shd w:val="clear" w:color="auto" w:fill="FFFFFF"/>
          </w:tcPr>
          <w:p w14:paraId="6C65510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.289</w:t>
            </w:r>
          </w:p>
        </w:tc>
        <w:tc>
          <w:tcPr>
            <w:tcW w:w="294" w:type="pct"/>
            <w:tcBorders>
              <w:top w:val="nil"/>
              <w:bottom w:val="single" w:color="000000" w:sz="16" w:space="0"/>
              <w:right w:val="single" w:color="000000" w:sz="16" w:space="0"/>
            </w:tcBorders>
            <w:shd w:val="clear" w:color="auto" w:fill="FFFFFF"/>
          </w:tcPr>
          <w:p w14:paraId="0DB8596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.289</w:t>
            </w:r>
          </w:p>
        </w:tc>
      </w:tr>
    </w:tbl>
    <w:p w14:paraId="56EB42DF">
      <w:pPr>
        <w:jc w:val="center"/>
        <w:rPr>
          <w:highlight w:val="none"/>
          <w:lang w:val="en-US"/>
        </w:rPr>
      </w:pPr>
    </w:p>
    <w:p w14:paraId="518987A3">
      <w:pPr>
        <w:jc w:val="center"/>
        <w:rPr>
          <w:highlight w:val="none"/>
          <w:lang w:val="en-US"/>
        </w:rPr>
      </w:pPr>
      <w:r>
        <w:rPr>
          <w:highlight w:val="none"/>
          <w:lang w:val="en-US"/>
        </w:rPr>
        <w:t>Frequency Table</w:t>
      </w:r>
    </w:p>
    <w:tbl>
      <w:tblPr>
        <w:tblStyle w:val="12"/>
        <w:tblW w:w="767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33"/>
        <w:gridCol w:w="1744"/>
        <w:gridCol w:w="1147"/>
        <w:gridCol w:w="1009"/>
        <w:gridCol w:w="1377"/>
        <w:gridCol w:w="1469"/>
      </w:tblGrid>
      <w:tr w14:paraId="45437E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676" w:type="dxa"/>
            <w:gridSpan w:val="6"/>
            <w:tcBorders>
              <w:top w:val="nil"/>
              <w:left w:val="nil"/>
              <w:bottom w:val="nil"/>
              <w:right w:val="nil"/>
            </w:tcBorders>
            <w:shd w:val="clear" w:color="auto" w:fill="FFFFFF"/>
          </w:tcPr>
          <w:p w14:paraId="223709E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b/>
                <w:bCs/>
                <w:color w:val="000000"/>
                <w:sz w:val="18"/>
                <w:szCs w:val="18"/>
                <w:highlight w:val="none"/>
                <w:lang w:val="en-US"/>
              </w:rPr>
              <w:t>Q3.</w:t>
            </w:r>
          </w:p>
        </w:tc>
      </w:tr>
      <w:tr w14:paraId="5E566F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676" w:type="dxa"/>
            <w:gridSpan w:val="2"/>
            <w:tcBorders>
              <w:top w:val="single" w:color="000000" w:sz="16" w:space="0"/>
              <w:left w:val="single" w:color="000000" w:sz="16" w:space="0"/>
              <w:bottom w:val="single" w:color="000000" w:sz="16" w:space="0"/>
              <w:right w:val="nil"/>
            </w:tcBorders>
            <w:shd w:val="clear" w:color="auto" w:fill="FFFFFF"/>
          </w:tcPr>
          <w:p w14:paraId="1E06625F">
            <w:pPr>
              <w:autoSpaceDE w:val="0"/>
              <w:autoSpaceDN w:val="0"/>
              <w:adjustRightInd w:val="0"/>
              <w:spacing w:after="0" w:line="240" w:lineRule="auto"/>
              <w:jc w:val="center"/>
              <w:rPr>
                <w:rFonts w:cs="Times New Roman"/>
                <w:szCs w:val="24"/>
                <w:highlight w:val="none"/>
                <w:lang w:val="en-US"/>
              </w:rPr>
            </w:pPr>
          </w:p>
        </w:tc>
        <w:tc>
          <w:tcPr>
            <w:tcW w:w="1147" w:type="dxa"/>
            <w:tcBorders>
              <w:top w:val="single" w:color="000000" w:sz="16" w:space="0"/>
              <w:left w:val="single" w:color="000000" w:sz="16" w:space="0"/>
              <w:bottom w:val="single" w:color="000000" w:sz="16" w:space="0"/>
            </w:tcBorders>
            <w:shd w:val="clear" w:color="auto" w:fill="FFFFFF"/>
          </w:tcPr>
          <w:p w14:paraId="08CC582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Frequency</w:t>
            </w:r>
          </w:p>
        </w:tc>
        <w:tc>
          <w:tcPr>
            <w:tcW w:w="1009" w:type="dxa"/>
            <w:tcBorders>
              <w:top w:val="single" w:color="000000" w:sz="16" w:space="0"/>
              <w:bottom w:val="single" w:color="000000" w:sz="16" w:space="0"/>
            </w:tcBorders>
            <w:shd w:val="clear" w:color="auto" w:fill="FFFFFF"/>
          </w:tcPr>
          <w:p w14:paraId="6710D83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Percent</w:t>
            </w:r>
          </w:p>
        </w:tc>
        <w:tc>
          <w:tcPr>
            <w:tcW w:w="1376" w:type="dxa"/>
            <w:tcBorders>
              <w:top w:val="single" w:color="000000" w:sz="16" w:space="0"/>
              <w:bottom w:val="single" w:color="000000" w:sz="16" w:space="0"/>
            </w:tcBorders>
            <w:shd w:val="clear" w:color="auto" w:fill="FFFFFF"/>
          </w:tcPr>
          <w:p w14:paraId="1C8841C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Valid Percent</w:t>
            </w:r>
          </w:p>
        </w:tc>
        <w:tc>
          <w:tcPr>
            <w:tcW w:w="1468" w:type="dxa"/>
            <w:tcBorders>
              <w:top w:val="single" w:color="000000" w:sz="16" w:space="0"/>
              <w:bottom w:val="single" w:color="000000" w:sz="16" w:space="0"/>
              <w:right w:val="single" w:color="000000" w:sz="16" w:space="0"/>
            </w:tcBorders>
            <w:shd w:val="clear" w:color="auto" w:fill="FFFFFF"/>
          </w:tcPr>
          <w:p w14:paraId="18D7B54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Cumulative Percent</w:t>
            </w:r>
          </w:p>
        </w:tc>
      </w:tr>
      <w:tr w14:paraId="58E34A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vMerge w:val="restart"/>
            <w:tcBorders>
              <w:top w:val="single" w:color="000000" w:sz="16" w:space="0"/>
              <w:left w:val="single" w:color="000000" w:sz="16" w:space="0"/>
              <w:bottom w:val="nil"/>
              <w:right w:val="nil"/>
            </w:tcBorders>
            <w:shd w:val="clear" w:color="auto" w:fill="FFFFFF"/>
            <w:vAlign w:val="center"/>
          </w:tcPr>
          <w:p w14:paraId="7929D0B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Valid</w:t>
            </w:r>
          </w:p>
        </w:tc>
        <w:tc>
          <w:tcPr>
            <w:tcW w:w="1743" w:type="dxa"/>
            <w:tcBorders>
              <w:top w:val="single" w:color="000000" w:sz="16" w:space="0"/>
              <w:left w:val="nil"/>
              <w:bottom w:val="nil"/>
              <w:right w:val="single" w:color="000000" w:sz="16" w:space="0"/>
            </w:tcBorders>
            <w:shd w:val="clear" w:color="auto" w:fill="FFFFFF"/>
            <w:vAlign w:val="center"/>
          </w:tcPr>
          <w:p w14:paraId="5E4891A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Strongly disagree</w:t>
            </w:r>
          </w:p>
        </w:tc>
        <w:tc>
          <w:tcPr>
            <w:tcW w:w="1147" w:type="dxa"/>
            <w:tcBorders>
              <w:top w:val="single" w:color="000000" w:sz="16" w:space="0"/>
              <w:left w:val="single" w:color="000000" w:sz="16" w:space="0"/>
              <w:bottom w:val="nil"/>
            </w:tcBorders>
            <w:shd w:val="clear" w:color="auto" w:fill="FFFFFF"/>
          </w:tcPr>
          <w:p w14:paraId="3DEFAA2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57</w:t>
            </w:r>
          </w:p>
        </w:tc>
        <w:tc>
          <w:tcPr>
            <w:tcW w:w="1009" w:type="dxa"/>
            <w:tcBorders>
              <w:top w:val="single" w:color="000000" w:sz="16" w:space="0"/>
              <w:bottom w:val="nil"/>
            </w:tcBorders>
            <w:shd w:val="clear" w:color="auto" w:fill="FFFFFF"/>
          </w:tcPr>
          <w:p w14:paraId="6AAD984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19.8</w:t>
            </w:r>
          </w:p>
        </w:tc>
        <w:tc>
          <w:tcPr>
            <w:tcW w:w="1376" w:type="dxa"/>
            <w:tcBorders>
              <w:top w:val="single" w:color="000000" w:sz="16" w:space="0"/>
              <w:bottom w:val="nil"/>
            </w:tcBorders>
            <w:shd w:val="clear" w:color="auto" w:fill="FFFFFF"/>
          </w:tcPr>
          <w:p w14:paraId="2D44590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20.2</w:t>
            </w:r>
          </w:p>
        </w:tc>
        <w:tc>
          <w:tcPr>
            <w:tcW w:w="1468" w:type="dxa"/>
            <w:tcBorders>
              <w:top w:val="single" w:color="000000" w:sz="16" w:space="0"/>
              <w:bottom w:val="nil"/>
              <w:right w:val="single" w:color="000000" w:sz="16" w:space="0"/>
            </w:tcBorders>
            <w:shd w:val="clear" w:color="auto" w:fill="FFFFFF"/>
          </w:tcPr>
          <w:p w14:paraId="4ACA0EA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20.2</w:t>
            </w:r>
          </w:p>
        </w:tc>
      </w:tr>
      <w:tr w14:paraId="07629C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vMerge w:val="continue"/>
            <w:tcBorders>
              <w:top w:val="single" w:color="000000" w:sz="16" w:space="0"/>
              <w:left w:val="single" w:color="000000" w:sz="16" w:space="0"/>
              <w:bottom w:val="nil"/>
              <w:right w:val="nil"/>
            </w:tcBorders>
            <w:shd w:val="clear" w:color="auto" w:fill="FFFFFF"/>
            <w:vAlign w:val="center"/>
          </w:tcPr>
          <w:p w14:paraId="18EB4D5E">
            <w:pPr>
              <w:autoSpaceDE w:val="0"/>
              <w:autoSpaceDN w:val="0"/>
              <w:adjustRightInd w:val="0"/>
              <w:spacing w:after="0" w:line="240" w:lineRule="auto"/>
              <w:jc w:val="center"/>
              <w:rPr>
                <w:rFonts w:ascii="Arial" w:hAnsi="Arial" w:cs="Arial"/>
                <w:color w:val="000000"/>
                <w:sz w:val="18"/>
                <w:szCs w:val="18"/>
                <w:highlight w:val="none"/>
                <w:lang w:val="en-US"/>
              </w:rPr>
            </w:pPr>
          </w:p>
        </w:tc>
        <w:tc>
          <w:tcPr>
            <w:tcW w:w="1743" w:type="dxa"/>
            <w:tcBorders>
              <w:top w:val="nil"/>
              <w:left w:val="nil"/>
              <w:bottom w:val="nil"/>
              <w:right w:val="single" w:color="000000" w:sz="16" w:space="0"/>
            </w:tcBorders>
            <w:shd w:val="clear" w:color="auto" w:fill="FFFFFF"/>
            <w:vAlign w:val="center"/>
          </w:tcPr>
          <w:p w14:paraId="574B887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Disagree</w:t>
            </w:r>
          </w:p>
        </w:tc>
        <w:tc>
          <w:tcPr>
            <w:tcW w:w="1147" w:type="dxa"/>
            <w:tcBorders>
              <w:top w:val="nil"/>
              <w:left w:val="single" w:color="000000" w:sz="16" w:space="0"/>
              <w:bottom w:val="nil"/>
            </w:tcBorders>
            <w:shd w:val="clear" w:color="auto" w:fill="FFFFFF"/>
          </w:tcPr>
          <w:p w14:paraId="58CB2E9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70</w:t>
            </w:r>
          </w:p>
        </w:tc>
        <w:tc>
          <w:tcPr>
            <w:tcW w:w="1009" w:type="dxa"/>
            <w:tcBorders>
              <w:top w:val="nil"/>
              <w:bottom w:val="nil"/>
            </w:tcBorders>
            <w:shd w:val="clear" w:color="auto" w:fill="FFFFFF"/>
          </w:tcPr>
          <w:p w14:paraId="71156EC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24.3</w:t>
            </w:r>
          </w:p>
        </w:tc>
        <w:tc>
          <w:tcPr>
            <w:tcW w:w="1376" w:type="dxa"/>
            <w:tcBorders>
              <w:top w:val="nil"/>
              <w:bottom w:val="nil"/>
            </w:tcBorders>
            <w:shd w:val="clear" w:color="auto" w:fill="FFFFFF"/>
          </w:tcPr>
          <w:p w14:paraId="199B510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24.8</w:t>
            </w:r>
          </w:p>
        </w:tc>
        <w:tc>
          <w:tcPr>
            <w:tcW w:w="1468" w:type="dxa"/>
            <w:tcBorders>
              <w:top w:val="nil"/>
              <w:bottom w:val="nil"/>
              <w:right w:val="single" w:color="000000" w:sz="16" w:space="0"/>
            </w:tcBorders>
            <w:shd w:val="clear" w:color="auto" w:fill="FFFFFF"/>
          </w:tcPr>
          <w:p w14:paraId="65D713C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45.0</w:t>
            </w:r>
          </w:p>
        </w:tc>
      </w:tr>
      <w:tr w14:paraId="550915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vMerge w:val="continue"/>
            <w:tcBorders>
              <w:top w:val="single" w:color="000000" w:sz="16" w:space="0"/>
              <w:left w:val="single" w:color="000000" w:sz="16" w:space="0"/>
              <w:bottom w:val="nil"/>
              <w:right w:val="nil"/>
            </w:tcBorders>
            <w:shd w:val="clear" w:color="auto" w:fill="FFFFFF"/>
            <w:vAlign w:val="center"/>
          </w:tcPr>
          <w:p w14:paraId="5B2E6EE1">
            <w:pPr>
              <w:autoSpaceDE w:val="0"/>
              <w:autoSpaceDN w:val="0"/>
              <w:adjustRightInd w:val="0"/>
              <w:spacing w:after="0" w:line="240" w:lineRule="auto"/>
              <w:jc w:val="center"/>
              <w:rPr>
                <w:rFonts w:ascii="Arial" w:hAnsi="Arial" w:cs="Arial"/>
                <w:color w:val="000000"/>
                <w:sz w:val="18"/>
                <w:szCs w:val="18"/>
                <w:highlight w:val="none"/>
                <w:lang w:val="en-US"/>
              </w:rPr>
            </w:pPr>
          </w:p>
        </w:tc>
        <w:tc>
          <w:tcPr>
            <w:tcW w:w="1743" w:type="dxa"/>
            <w:tcBorders>
              <w:top w:val="nil"/>
              <w:left w:val="nil"/>
              <w:bottom w:val="nil"/>
              <w:right w:val="single" w:color="000000" w:sz="16" w:space="0"/>
            </w:tcBorders>
            <w:shd w:val="clear" w:color="auto" w:fill="FFFFFF"/>
            <w:vAlign w:val="center"/>
          </w:tcPr>
          <w:p w14:paraId="553EDED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Neutral</w:t>
            </w:r>
          </w:p>
        </w:tc>
        <w:tc>
          <w:tcPr>
            <w:tcW w:w="1147" w:type="dxa"/>
            <w:tcBorders>
              <w:top w:val="nil"/>
              <w:left w:val="single" w:color="000000" w:sz="16" w:space="0"/>
              <w:bottom w:val="nil"/>
            </w:tcBorders>
            <w:shd w:val="clear" w:color="auto" w:fill="FFFFFF"/>
          </w:tcPr>
          <w:p w14:paraId="4F8B8A1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w:t>
            </w:r>
          </w:p>
        </w:tc>
        <w:tc>
          <w:tcPr>
            <w:tcW w:w="1009" w:type="dxa"/>
            <w:tcBorders>
              <w:top w:val="nil"/>
              <w:bottom w:val="nil"/>
            </w:tcBorders>
            <w:shd w:val="clear" w:color="auto" w:fill="FFFFFF"/>
          </w:tcPr>
          <w:p w14:paraId="7DFFA3B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.3</w:t>
            </w:r>
          </w:p>
        </w:tc>
        <w:tc>
          <w:tcPr>
            <w:tcW w:w="1376" w:type="dxa"/>
            <w:tcBorders>
              <w:top w:val="nil"/>
              <w:bottom w:val="nil"/>
            </w:tcBorders>
            <w:shd w:val="clear" w:color="auto" w:fill="FFFFFF"/>
          </w:tcPr>
          <w:p w14:paraId="7E35823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.4</w:t>
            </w:r>
          </w:p>
        </w:tc>
        <w:tc>
          <w:tcPr>
            <w:tcW w:w="1468" w:type="dxa"/>
            <w:tcBorders>
              <w:top w:val="nil"/>
              <w:bottom w:val="nil"/>
              <w:right w:val="single" w:color="000000" w:sz="16" w:space="0"/>
            </w:tcBorders>
            <w:shd w:val="clear" w:color="auto" w:fill="FFFFFF"/>
          </w:tcPr>
          <w:p w14:paraId="35F8AEA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45.4</w:t>
            </w:r>
          </w:p>
        </w:tc>
      </w:tr>
      <w:tr w14:paraId="17B323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vMerge w:val="continue"/>
            <w:tcBorders>
              <w:top w:val="single" w:color="000000" w:sz="16" w:space="0"/>
              <w:left w:val="single" w:color="000000" w:sz="16" w:space="0"/>
              <w:bottom w:val="nil"/>
              <w:right w:val="nil"/>
            </w:tcBorders>
            <w:shd w:val="clear" w:color="auto" w:fill="FFFFFF"/>
            <w:vAlign w:val="center"/>
          </w:tcPr>
          <w:p w14:paraId="0FFCCE88">
            <w:pPr>
              <w:autoSpaceDE w:val="0"/>
              <w:autoSpaceDN w:val="0"/>
              <w:adjustRightInd w:val="0"/>
              <w:spacing w:after="0" w:line="240" w:lineRule="auto"/>
              <w:jc w:val="center"/>
              <w:rPr>
                <w:rFonts w:ascii="Arial" w:hAnsi="Arial" w:cs="Arial"/>
                <w:color w:val="000000"/>
                <w:sz w:val="18"/>
                <w:szCs w:val="18"/>
                <w:highlight w:val="none"/>
                <w:lang w:val="en-US"/>
              </w:rPr>
            </w:pPr>
          </w:p>
        </w:tc>
        <w:tc>
          <w:tcPr>
            <w:tcW w:w="1743" w:type="dxa"/>
            <w:tcBorders>
              <w:top w:val="nil"/>
              <w:left w:val="nil"/>
              <w:bottom w:val="nil"/>
              <w:right w:val="single" w:color="000000" w:sz="16" w:space="0"/>
            </w:tcBorders>
            <w:shd w:val="clear" w:color="auto" w:fill="FFFFFF"/>
            <w:vAlign w:val="center"/>
          </w:tcPr>
          <w:p w14:paraId="5C33D5E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Agree</w:t>
            </w:r>
          </w:p>
        </w:tc>
        <w:tc>
          <w:tcPr>
            <w:tcW w:w="1147" w:type="dxa"/>
            <w:tcBorders>
              <w:top w:val="nil"/>
              <w:left w:val="single" w:color="000000" w:sz="16" w:space="0"/>
              <w:bottom w:val="nil"/>
            </w:tcBorders>
            <w:shd w:val="clear" w:color="auto" w:fill="FFFFFF"/>
          </w:tcPr>
          <w:p w14:paraId="49A0E8F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154</w:t>
            </w:r>
          </w:p>
        </w:tc>
        <w:tc>
          <w:tcPr>
            <w:tcW w:w="1009" w:type="dxa"/>
            <w:tcBorders>
              <w:top w:val="nil"/>
              <w:bottom w:val="nil"/>
            </w:tcBorders>
            <w:shd w:val="clear" w:color="auto" w:fill="FFFFFF"/>
          </w:tcPr>
          <w:p w14:paraId="26FE486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53.5</w:t>
            </w:r>
          </w:p>
        </w:tc>
        <w:tc>
          <w:tcPr>
            <w:tcW w:w="1376" w:type="dxa"/>
            <w:tcBorders>
              <w:top w:val="nil"/>
              <w:bottom w:val="nil"/>
            </w:tcBorders>
            <w:shd w:val="clear" w:color="auto" w:fill="FFFFFF"/>
          </w:tcPr>
          <w:p w14:paraId="2B987C9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54.6</w:t>
            </w:r>
          </w:p>
        </w:tc>
        <w:tc>
          <w:tcPr>
            <w:tcW w:w="1468" w:type="dxa"/>
            <w:tcBorders>
              <w:top w:val="nil"/>
              <w:bottom w:val="nil"/>
              <w:right w:val="single" w:color="000000" w:sz="16" w:space="0"/>
            </w:tcBorders>
            <w:shd w:val="clear" w:color="auto" w:fill="FFFFFF"/>
          </w:tcPr>
          <w:p w14:paraId="1607C9D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p>
        </w:tc>
      </w:tr>
      <w:tr w14:paraId="602467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vMerge w:val="continue"/>
            <w:tcBorders>
              <w:top w:val="single" w:color="000000" w:sz="16" w:space="0"/>
              <w:left w:val="single" w:color="000000" w:sz="16" w:space="0"/>
              <w:bottom w:val="nil"/>
              <w:right w:val="nil"/>
            </w:tcBorders>
            <w:shd w:val="clear" w:color="auto" w:fill="FFFFFF"/>
            <w:vAlign w:val="center"/>
          </w:tcPr>
          <w:p w14:paraId="688C925C">
            <w:pPr>
              <w:autoSpaceDE w:val="0"/>
              <w:autoSpaceDN w:val="0"/>
              <w:adjustRightInd w:val="0"/>
              <w:spacing w:after="0" w:line="240" w:lineRule="auto"/>
              <w:jc w:val="center"/>
              <w:rPr>
                <w:rFonts w:ascii="Arial" w:hAnsi="Arial" w:cs="Arial"/>
                <w:color w:val="000000"/>
                <w:sz w:val="18"/>
                <w:szCs w:val="18"/>
                <w:highlight w:val="none"/>
                <w:lang w:val="en-US"/>
              </w:rPr>
            </w:pPr>
          </w:p>
        </w:tc>
        <w:tc>
          <w:tcPr>
            <w:tcW w:w="1743" w:type="dxa"/>
            <w:tcBorders>
              <w:top w:val="nil"/>
              <w:left w:val="nil"/>
              <w:bottom w:val="nil"/>
              <w:right w:val="single" w:color="000000" w:sz="16" w:space="0"/>
            </w:tcBorders>
            <w:shd w:val="clear" w:color="auto" w:fill="FFFFFF"/>
            <w:vAlign w:val="center"/>
          </w:tcPr>
          <w:p w14:paraId="2C7CB40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Total</w:t>
            </w:r>
          </w:p>
        </w:tc>
        <w:tc>
          <w:tcPr>
            <w:tcW w:w="1147" w:type="dxa"/>
            <w:tcBorders>
              <w:top w:val="nil"/>
              <w:left w:val="single" w:color="000000" w:sz="16" w:space="0"/>
              <w:bottom w:val="nil"/>
            </w:tcBorders>
            <w:shd w:val="clear" w:color="auto" w:fill="FFFFFF"/>
          </w:tcPr>
          <w:p w14:paraId="2617F2C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1009" w:type="dxa"/>
            <w:tcBorders>
              <w:top w:val="nil"/>
              <w:bottom w:val="nil"/>
            </w:tcBorders>
            <w:shd w:val="clear" w:color="auto" w:fill="FFFFFF"/>
          </w:tcPr>
          <w:p w14:paraId="109053E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97.9</w:t>
            </w:r>
          </w:p>
        </w:tc>
        <w:tc>
          <w:tcPr>
            <w:tcW w:w="1376" w:type="dxa"/>
            <w:tcBorders>
              <w:top w:val="nil"/>
              <w:bottom w:val="nil"/>
            </w:tcBorders>
            <w:shd w:val="clear" w:color="auto" w:fill="FFFFFF"/>
          </w:tcPr>
          <w:p w14:paraId="03D2378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p>
        </w:tc>
        <w:tc>
          <w:tcPr>
            <w:tcW w:w="1468" w:type="dxa"/>
            <w:tcBorders>
              <w:top w:val="nil"/>
              <w:bottom w:val="nil"/>
              <w:right w:val="single" w:color="000000" w:sz="16" w:space="0"/>
            </w:tcBorders>
            <w:shd w:val="clear" w:color="auto" w:fill="FFFFFF"/>
          </w:tcPr>
          <w:p w14:paraId="76793AD2">
            <w:pPr>
              <w:autoSpaceDE w:val="0"/>
              <w:autoSpaceDN w:val="0"/>
              <w:adjustRightInd w:val="0"/>
              <w:spacing w:after="0" w:line="240" w:lineRule="auto"/>
              <w:jc w:val="center"/>
              <w:rPr>
                <w:rFonts w:cs="Times New Roman"/>
                <w:szCs w:val="24"/>
                <w:highlight w:val="none"/>
                <w:lang w:val="en-US"/>
              </w:rPr>
            </w:pPr>
          </w:p>
        </w:tc>
      </w:tr>
      <w:tr w14:paraId="106AF5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tcBorders>
              <w:top w:val="nil"/>
              <w:left w:val="single" w:color="000000" w:sz="16" w:space="0"/>
              <w:bottom w:val="nil"/>
              <w:right w:val="nil"/>
            </w:tcBorders>
            <w:shd w:val="clear" w:color="auto" w:fill="FFFFFF"/>
            <w:vAlign w:val="center"/>
          </w:tcPr>
          <w:p w14:paraId="21B0DAF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Missing</w:t>
            </w:r>
          </w:p>
        </w:tc>
        <w:tc>
          <w:tcPr>
            <w:tcW w:w="1743" w:type="dxa"/>
            <w:tcBorders>
              <w:top w:val="nil"/>
              <w:left w:val="nil"/>
              <w:bottom w:val="nil"/>
              <w:right w:val="single" w:color="000000" w:sz="16" w:space="0"/>
            </w:tcBorders>
            <w:shd w:val="clear" w:color="auto" w:fill="FFFFFF"/>
            <w:vAlign w:val="center"/>
          </w:tcPr>
          <w:p w14:paraId="7DDBD47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System</w:t>
            </w:r>
          </w:p>
        </w:tc>
        <w:tc>
          <w:tcPr>
            <w:tcW w:w="1147" w:type="dxa"/>
            <w:tcBorders>
              <w:top w:val="nil"/>
              <w:left w:val="single" w:color="000000" w:sz="16" w:space="0"/>
              <w:bottom w:val="nil"/>
            </w:tcBorders>
            <w:shd w:val="clear" w:color="auto" w:fill="FFFFFF"/>
          </w:tcPr>
          <w:p w14:paraId="59CFEBC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6</w:t>
            </w:r>
          </w:p>
        </w:tc>
        <w:tc>
          <w:tcPr>
            <w:tcW w:w="1009" w:type="dxa"/>
            <w:tcBorders>
              <w:top w:val="nil"/>
              <w:bottom w:val="nil"/>
            </w:tcBorders>
            <w:shd w:val="clear" w:color="auto" w:fill="FFFFFF"/>
          </w:tcPr>
          <w:p w14:paraId="50B84BA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2.1</w:t>
            </w:r>
          </w:p>
        </w:tc>
        <w:tc>
          <w:tcPr>
            <w:tcW w:w="1376" w:type="dxa"/>
            <w:tcBorders>
              <w:top w:val="nil"/>
              <w:bottom w:val="nil"/>
            </w:tcBorders>
            <w:shd w:val="clear" w:color="auto" w:fill="FFFFFF"/>
          </w:tcPr>
          <w:p w14:paraId="4F3FE28E">
            <w:pPr>
              <w:autoSpaceDE w:val="0"/>
              <w:autoSpaceDN w:val="0"/>
              <w:adjustRightInd w:val="0"/>
              <w:spacing w:after="0" w:line="240" w:lineRule="auto"/>
              <w:jc w:val="center"/>
              <w:rPr>
                <w:rFonts w:cs="Times New Roman"/>
                <w:szCs w:val="24"/>
                <w:highlight w:val="none"/>
                <w:lang w:val="en-US"/>
              </w:rPr>
            </w:pPr>
          </w:p>
        </w:tc>
        <w:tc>
          <w:tcPr>
            <w:tcW w:w="1468" w:type="dxa"/>
            <w:tcBorders>
              <w:top w:val="nil"/>
              <w:bottom w:val="nil"/>
              <w:right w:val="single" w:color="000000" w:sz="16" w:space="0"/>
            </w:tcBorders>
            <w:shd w:val="clear" w:color="auto" w:fill="FFFFFF"/>
          </w:tcPr>
          <w:p w14:paraId="7D109D28">
            <w:pPr>
              <w:autoSpaceDE w:val="0"/>
              <w:autoSpaceDN w:val="0"/>
              <w:adjustRightInd w:val="0"/>
              <w:spacing w:after="0" w:line="240" w:lineRule="auto"/>
              <w:jc w:val="center"/>
              <w:rPr>
                <w:rFonts w:cs="Times New Roman"/>
                <w:szCs w:val="24"/>
                <w:highlight w:val="none"/>
                <w:lang w:val="en-US"/>
              </w:rPr>
            </w:pPr>
          </w:p>
        </w:tc>
      </w:tr>
      <w:tr w14:paraId="22EB95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676" w:type="dxa"/>
            <w:gridSpan w:val="2"/>
            <w:tcBorders>
              <w:top w:val="nil"/>
              <w:left w:val="single" w:color="000000" w:sz="16" w:space="0"/>
              <w:bottom w:val="single" w:color="000000" w:sz="16" w:space="0"/>
              <w:right w:val="nil"/>
            </w:tcBorders>
            <w:shd w:val="clear" w:color="auto" w:fill="FFFFFF"/>
            <w:vAlign w:val="center"/>
          </w:tcPr>
          <w:p w14:paraId="696EB96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Total</w:t>
            </w:r>
          </w:p>
        </w:tc>
        <w:tc>
          <w:tcPr>
            <w:tcW w:w="1147" w:type="dxa"/>
            <w:tcBorders>
              <w:top w:val="nil"/>
              <w:left w:val="single" w:color="000000" w:sz="16" w:space="0"/>
              <w:bottom w:val="single" w:color="000000" w:sz="16" w:space="0"/>
            </w:tcBorders>
            <w:shd w:val="clear" w:color="auto" w:fill="FFFFFF"/>
          </w:tcPr>
          <w:p w14:paraId="7C17F36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288</w:t>
            </w:r>
          </w:p>
        </w:tc>
        <w:tc>
          <w:tcPr>
            <w:tcW w:w="1009" w:type="dxa"/>
            <w:tcBorders>
              <w:top w:val="nil"/>
              <w:bottom w:val="single" w:color="000000" w:sz="16" w:space="0"/>
            </w:tcBorders>
            <w:shd w:val="clear" w:color="auto" w:fill="FFFFFF"/>
          </w:tcPr>
          <w:p w14:paraId="748BE08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p>
        </w:tc>
        <w:tc>
          <w:tcPr>
            <w:tcW w:w="1376" w:type="dxa"/>
            <w:tcBorders>
              <w:top w:val="nil"/>
              <w:bottom w:val="single" w:color="000000" w:sz="16" w:space="0"/>
            </w:tcBorders>
            <w:shd w:val="clear" w:color="auto" w:fill="FFFFFF"/>
          </w:tcPr>
          <w:p w14:paraId="1196E35F">
            <w:pPr>
              <w:autoSpaceDE w:val="0"/>
              <w:autoSpaceDN w:val="0"/>
              <w:adjustRightInd w:val="0"/>
              <w:spacing w:after="0" w:line="240" w:lineRule="auto"/>
              <w:jc w:val="center"/>
              <w:rPr>
                <w:rFonts w:cs="Times New Roman"/>
                <w:szCs w:val="24"/>
                <w:highlight w:val="none"/>
                <w:lang w:val="en-US"/>
              </w:rPr>
            </w:pPr>
          </w:p>
        </w:tc>
        <w:tc>
          <w:tcPr>
            <w:tcW w:w="1468" w:type="dxa"/>
            <w:tcBorders>
              <w:top w:val="nil"/>
              <w:bottom w:val="single" w:color="000000" w:sz="16" w:space="0"/>
              <w:right w:val="single" w:color="000000" w:sz="16" w:space="0"/>
            </w:tcBorders>
            <w:shd w:val="clear" w:color="auto" w:fill="FFFFFF"/>
          </w:tcPr>
          <w:p w14:paraId="6C0C9651">
            <w:pPr>
              <w:autoSpaceDE w:val="0"/>
              <w:autoSpaceDN w:val="0"/>
              <w:adjustRightInd w:val="0"/>
              <w:spacing w:after="0" w:line="240" w:lineRule="auto"/>
              <w:jc w:val="center"/>
              <w:rPr>
                <w:rFonts w:cs="Times New Roman"/>
                <w:szCs w:val="24"/>
                <w:highlight w:val="none"/>
                <w:lang w:val="en-US"/>
              </w:rPr>
            </w:pPr>
          </w:p>
        </w:tc>
      </w:tr>
    </w:tbl>
    <w:p w14:paraId="4C6E2D42">
      <w:pPr>
        <w:jc w:val="center"/>
        <w:rPr>
          <w:highlight w:val="none"/>
          <w:lang w:val="en-US"/>
        </w:rPr>
      </w:pPr>
    </w:p>
    <w:tbl>
      <w:tblPr>
        <w:tblStyle w:val="12"/>
        <w:tblW w:w="767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33"/>
        <w:gridCol w:w="1744"/>
        <w:gridCol w:w="1147"/>
        <w:gridCol w:w="1009"/>
        <w:gridCol w:w="1377"/>
        <w:gridCol w:w="1469"/>
      </w:tblGrid>
      <w:tr w14:paraId="3001FD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676" w:type="dxa"/>
            <w:gridSpan w:val="6"/>
            <w:tcBorders>
              <w:top w:val="nil"/>
              <w:left w:val="nil"/>
              <w:bottom w:val="nil"/>
              <w:right w:val="nil"/>
            </w:tcBorders>
            <w:shd w:val="clear" w:color="auto" w:fill="FFFFFF"/>
          </w:tcPr>
          <w:p w14:paraId="2279046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b/>
                <w:bCs/>
                <w:color w:val="000000"/>
                <w:sz w:val="18"/>
                <w:szCs w:val="18"/>
                <w:highlight w:val="none"/>
                <w:lang w:val="en-US"/>
              </w:rPr>
              <w:t>Q4.</w:t>
            </w:r>
          </w:p>
        </w:tc>
      </w:tr>
      <w:tr w14:paraId="5E5A30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676" w:type="dxa"/>
            <w:gridSpan w:val="2"/>
            <w:tcBorders>
              <w:top w:val="single" w:color="000000" w:sz="16" w:space="0"/>
              <w:left w:val="single" w:color="000000" w:sz="16" w:space="0"/>
              <w:bottom w:val="single" w:color="000000" w:sz="16" w:space="0"/>
              <w:right w:val="nil"/>
            </w:tcBorders>
            <w:shd w:val="clear" w:color="auto" w:fill="FFFFFF"/>
          </w:tcPr>
          <w:p w14:paraId="2EC72167">
            <w:pPr>
              <w:autoSpaceDE w:val="0"/>
              <w:autoSpaceDN w:val="0"/>
              <w:adjustRightInd w:val="0"/>
              <w:spacing w:after="0" w:line="240" w:lineRule="auto"/>
              <w:jc w:val="center"/>
              <w:rPr>
                <w:rFonts w:cs="Times New Roman"/>
                <w:szCs w:val="24"/>
                <w:highlight w:val="none"/>
                <w:lang w:val="en-US"/>
              </w:rPr>
            </w:pPr>
          </w:p>
        </w:tc>
        <w:tc>
          <w:tcPr>
            <w:tcW w:w="1147" w:type="dxa"/>
            <w:tcBorders>
              <w:top w:val="single" w:color="000000" w:sz="16" w:space="0"/>
              <w:left w:val="single" w:color="000000" w:sz="16" w:space="0"/>
              <w:bottom w:val="single" w:color="000000" w:sz="16" w:space="0"/>
            </w:tcBorders>
            <w:shd w:val="clear" w:color="auto" w:fill="FFFFFF"/>
          </w:tcPr>
          <w:p w14:paraId="5579979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Frequency</w:t>
            </w:r>
          </w:p>
        </w:tc>
        <w:tc>
          <w:tcPr>
            <w:tcW w:w="1009" w:type="dxa"/>
            <w:tcBorders>
              <w:top w:val="single" w:color="000000" w:sz="16" w:space="0"/>
              <w:bottom w:val="single" w:color="000000" w:sz="16" w:space="0"/>
            </w:tcBorders>
            <w:shd w:val="clear" w:color="auto" w:fill="FFFFFF"/>
          </w:tcPr>
          <w:p w14:paraId="7E5B894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Percent</w:t>
            </w:r>
          </w:p>
        </w:tc>
        <w:tc>
          <w:tcPr>
            <w:tcW w:w="1376" w:type="dxa"/>
            <w:tcBorders>
              <w:top w:val="single" w:color="000000" w:sz="16" w:space="0"/>
              <w:bottom w:val="single" w:color="000000" w:sz="16" w:space="0"/>
            </w:tcBorders>
            <w:shd w:val="clear" w:color="auto" w:fill="FFFFFF"/>
          </w:tcPr>
          <w:p w14:paraId="30A66ED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Valid Percent</w:t>
            </w:r>
          </w:p>
        </w:tc>
        <w:tc>
          <w:tcPr>
            <w:tcW w:w="1468" w:type="dxa"/>
            <w:tcBorders>
              <w:top w:val="single" w:color="000000" w:sz="16" w:space="0"/>
              <w:bottom w:val="single" w:color="000000" w:sz="16" w:space="0"/>
              <w:right w:val="single" w:color="000000" w:sz="16" w:space="0"/>
            </w:tcBorders>
            <w:shd w:val="clear" w:color="auto" w:fill="FFFFFF"/>
          </w:tcPr>
          <w:p w14:paraId="1B5AA6F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Cumulative Percent</w:t>
            </w:r>
          </w:p>
        </w:tc>
      </w:tr>
      <w:tr w14:paraId="016D2F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vMerge w:val="restart"/>
            <w:tcBorders>
              <w:top w:val="single" w:color="000000" w:sz="16" w:space="0"/>
              <w:left w:val="single" w:color="000000" w:sz="16" w:space="0"/>
              <w:bottom w:val="nil"/>
              <w:right w:val="nil"/>
            </w:tcBorders>
            <w:shd w:val="clear" w:color="auto" w:fill="FFFFFF"/>
            <w:vAlign w:val="center"/>
          </w:tcPr>
          <w:p w14:paraId="4F54322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Valid</w:t>
            </w:r>
          </w:p>
        </w:tc>
        <w:tc>
          <w:tcPr>
            <w:tcW w:w="1743" w:type="dxa"/>
            <w:tcBorders>
              <w:top w:val="single" w:color="000000" w:sz="16" w:space="0"/>
              <w:left w:val="nil"/>
              <w:bottom w:val="nil"/>
              <w:right w:val="single" w:color="000000" w:sz="16" w:space="0"/>
            </w:tcBorders>
            <w:shd w:val="clear" w:color="auto" w:fill="FFFFFF"/>
            <w:vAlign w:val="center"/>
          </w:tcPr>
          <w:p w14:paraId="77BA2A6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Strongly disagree</w:t>
            </w:r>
          </w:p>
        </w:tc>
        <w:tc>
          <w:tcPr>
            <w:tcW w:w="1147" w:type="dxa"/>
            <w:tcBorders>
              <w:top w:val="single" w:color="000000" w:sz="16" w:space="0"/>
              <w:left w:val="single" w:color="000000" w:sz="16" w:space="0"/>
              <w:bottom w:val="nil"/>
            </w:tcBorders>
            <w:shd w:val="clear" w:color="auto" w:fill="FFFFFF"/>
          </w:tcPr>
          <w:p w14:paraId="58B793D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70</w:t>
            </w:r>
          </w:p>
        </w:tc>
        <w:tc>
          <w:tcPr>
            <w:tcW w:w="1009" w:type="dxa"/>
            <w:tcBorders>
              <w:top w:val="single" w:color="000000" w:sz="16" w:space="0"/>
              <w:bottom w:val="nil"/>
            </w:tcBorders>
            <w:shd w:val="clear" w:color="auto" w:fill="FFFFFF"/>
          </w:tcPr>
          <w:p w14:paraId="1F7A0D8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24.3</w:t>
            </w:r>
          </w:p>
        </w:tc>
        <w:tc>
          <w:tcPr>
            <w:tcW w:w="1376" w:type="dxa"/>
            <w:tcBorders>
              <w:top w:val="single" w:color="000000" w:sz="16" w:space="0"/>
              <w:bottom w:val="nil"/>
            </w:tcBorders>
            <w:shd w:val="clear" w:color="auto" w:fill="FFFFFF"/>
          </w:tcPr>
          <w:p w14:paraId="37AD607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24.8</w:t>
            </w:r>
          </w:p>
        </w:tc>
        <w:tc>
          <w:tcPr>
            <w:tcW w:w="1468" w:type="dxa"/>
            <w:tcBorders>
              <w:top w:val="single" w:color="000000" w:sz="16" w:space="0"/>
              <w:bottom w:val="nil"/>
              <w:right w:val="single" w:color="000000" w:sz="16" w:space="0"/>
            </w:tcBorders>
            <w:shd w:val="clear" w:color="auto" w:fill="FFFFFF"/>
          </w:tcPr>
          <w:p w14:paraId="1A39954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24.8</w:t>
            </w:r>
          </w:p>
        </w:tc>
      </w:tr>
      <w:tr w14:paraId="732F2A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vMerge w:val="continue"/>
            <w:tcBorders>
              <w:top w:val="single" w:color="000000" w:sz="16" w:space="0"/>
              <w:left w:val="single" w:color="000000" w:sz="16" w:space="0"/>
              <w:bottom w:val="nil"/>
              <w:right w:val="nil"/>
            </w:tcBorders>
            <w:shd w:val="clear" w:color="auto" w:fill="FFFFFF"/>
            <w:vAlign w:val="center"/>
          </w:tcPr>
          <w:p w14:paraId="37F6E494">
            <w:pPr>
              <w:autoSpaceDE w:val="0"/>
              <w:autoSpaceDN w:val="0"/>
              <w:adjustRightInd w:val="0"/>
              <w:spacing w:after="0" w:line="240" w:lineRule="auto"/>
              <w:jc w:val="center"/>
              <w:rPr>
                <w:rFonts w:ascii="Arial" w:hAnsi="Arial" w:cs="Arial"/>
                <w:color w:val="000000"/>
                <w:sz w:val="18"/>
                <w:szCs w:val="18"/>
                <w:highlight w:val="none"/>
                <w:lang w:val="en-US"/>
              </w:rPr>
            </w:pPr>
          </w:p>
        </w:tc>
        <w:tc>
          <w:tcPr>
            <w:tcW w:w="1743" w:type="dxa"/>
            <w:tcBorders>
              <w:top w:val="nil"/>
              <w:left w:val="nil"/>
              <w:bottom w:val="nil"/>
              <w:right w:val="single" w:color="000000" w:sz="16" w:space="0"/>
            </w:tcBorders>
            <w:shd w:val="clear" w:color="auto" w:fill="FFFFFF"/>
            <w:vAlign w:val="center"/>
          </w:tcPr>
          <w:p w14:paraId="0076BD5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Disagree</w:t>
            </w:r>
          </w:p>
        </w:tc>
        <w:tc>
          <w:tcPr>
            <w:tcW w:w="1147" w:type="dxa"/>
            <w:tcBorders>
              <w:top w:val="nil"/>
              <w:left w:val="single" w:color="000000" w:sz="16" w:space="0"/>
              <w:bottom w:val="nil"/>
            </w:tcBorders>
            <w:shd w:val="clear" w:color="auto" w:fill="FFFFFF"/>
          </w:tcPr>
          <w:p w14:paraId="57BBB90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57</w:t>
            </w:r>
          </w:p>
        </w:tc>
        <w:tc>
          <w:tcPr>
            <w:tcW w:w="1009" w:type="dxa"/>
            <w:tcBorders>
              <w:top w:val="nil"/>
              <w:bottom w:val="nil"/>
            </w:tcBorders>
            <w:shd w:val="clear" w:color="auto" w:fill="FFFFFF"/>
          </w:tcPr>
          <w:p w14:paraId="0963C6F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19.8</w:t>
            </w:r>
          </w:p>
        </w:tc>
        <w:tc>
          <w:tcPr>
            <w:tcW w:w="1376" w:type="dxa"/>
            <w:tcBorders>
              <w:top w:val="nil"/>
              <w:bottom w:val="nil"/>
            </w:tcBorders>
            <w:shd w:val="clear" w:color="auto" w:fill="FFFFFF"/>
          </w:tcPr>
          <w:p w14:paraId="295DE15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20.2</w:t>
            </w:r>
          </w:p>
        </w:tc>
        <w:tc>
          <w:tcPr>
            <w:tcW w:w="1468" w:type="dxa"/>
            <w:tcBorders>
              <w:top w:val="nil"/>
              <w:bottom w:val="nil"/>
              <w:right w:val="single" w:color="000000" w:sz="16" w:space="0"/>
            </w:tcBorders>
            <w:shd w:val="clear" w:color="auto" w:fill="FFFFFF"/>
          </w:tcPr>
          <w:p w14:paraId="64D5F29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45.0</w:t>
            </w:r>
          </w:p>
        </w:tc>
      </w:tr>
      <w:tr w14:paraId="7862DC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vMerge w:val="continue"/>
            <w:tcBorders>
              <w:top w:val="single" w:color="000000" w:sz="16" w:space="0"/>
              <w:left w:val="single" w:color="000000" w:sz="16" w:space="0"/>
              <w:bottom w:val="nil"/>
              <w:right w:val="nil"/>
            </w:tcBorders>
            <w:shd w:val="clear" w:color="auto" w:fill="FFFFFF"/>
            <w:vAlign w:val="center"/>
          </w:tcPr>
          <w:p w14:paraId="5CF37728">
            <w:pPr>
              <w:autoSpaceDE w:val="0"/>
              <w:autoSpaceDN w:val="0"/>
              <w:adjustRightInd w:val="0"/>
              <w:spacing w:after="0" w:line="240" w:lineRule="auto"/>
              <w:jc w:val="center"/>
              <w:rPr>
                <w:rFonts w:ascii="Arial" w:hAnsi="Arial" w:cs="Arial"/>
                <w:color w:val="000000"/>
                <w:sz w:val="18"/>
                <w:szCs w:val="18"/>
                <w:highlight w:val="none"/>
                <w:lang w:val="en-US"/>
              </w:rPr>
            </w:pPr>
          </w:p>
        </w:tc>
        <w:tc>
          <w:tcPr>
            <w:tcW w:w="1743" w:type="dxa"/>
            <w:tcBorders>
              <w:top w:val="nil"/>
              <w:left w:val="nil"/>
              <w:bottom w:val="nil"/>
              <w:right w:val="single" w:color="000000" w:sz="16" w:space="0"/>
            </w:tcBorders>
            <w:shd w:val="clear" w:color="auto" w:fill="FFFFFF"/>
            <w:vAlign w:val="center"/>
          </w:tcPr>
          <w:p w14:paraId="7B6C926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Strongly agree</w:t>
            </w:r>
          </w:p>
        </w:tc>
        <w:tc>
          <w:tcPr>
            <w:tcW w:w="1147" w:type="dxa"/>
            <w:tcBorders>
              <w:top w:val="nil"/>
              <w:left w:val="single" w:color="000000" w:sz="16" w:space="0"/>
              <w:bottom w:val="nil"/>
            </w:tcBorders>
            <w:shd w:val="clear" w:color="auto" w:fill="FFFFFF"/>
          </w:tcPr>
          <w:p w14:paraId="75AD3F9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155</w:t>
            </w:r>
          </w:p>
        </w:tc>
        <w:tc>
          <w:tcPr>
            <w:tcW w:w="1009" w:type="dxa"/>
            <w:tcBorders>
              <w:top w:val="nil"/>
              <w:bottom w:val="nil"/>
            </w:tcBorders>
            <w:shd w:val="clear" w:color="auto" w:fill="FFFFFF"/>
          </w:tcPr>
          <w:p w14:paraId="1EB9D3B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53.8</w:t>
            </w:r>
          </w:p>
        </w:tc>
        <w:tc>
          <w:tcPr>
            <w:tcW w:w="1376" w:type="dxa"/>
            <w:tcBorders>
              <w:top w:val="nil"/>
              <w:bottom w:val="nil"/>
            </w:tcBorders>
            <w:shd w:val="clear" w:color="auto" w:fill="FFFFFF"/>
          </w:tcPr>
          <w:p w14:paraId="225CF27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55.0</w:t>
            </w:r>
          </w:p>
        </w:tc>
        <w:tc>
          <w:tcPr>
            <w:tcW w:w="1468" w:type="dxa"/>
            <w:tcBorders>
              <w:top w:val="nil"/>
              <w:bottom w:val="nil"/>
              <w:right w:val="single" w:color="000000" w:sz="16" w:space="0"/>
            </w:tcBorders>
            <w:shd w:val="clear" w:color="auto" w:fill="FFFFFF"/>
          </w:tcPr>
          <w:p w14:paraId="217D4AC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p>
        </w:tc>
      </w:tr>
      <w:tr w14:paraId="50DE95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vMerge w:val="continue"/>
            <w:tcBorders>
              <w:top w:val="single" w:color="000000" w:sz="16" w:space="0"/>
              <w:left w:val="single" w:color="000000" w:sz="16" w:space="0"/>
              <w:bottom w:val="nil"/>
              <w:right w:val="nil"/>
            </w:tcBorders>
            <w:shd w:val="clear" w:color="auto" w:fill="FFFFFF"/>
            <w:vAlign w:val="center"/>
          </w:tcPr>
          <w:p w14:paraId="44EB30CE">
            <w:pPr>
              <w:autoSpaceDE w:val="0"/>
              <w:autoSpaceDN w:val="0"/>
              <w:adjustRightInd w:val="0"/>
              <w:spacing w:after="0" w:line="240" w:lineRule="auto"/>
              <w:jc w:val="center"/>
              <w:rPr>
                <w:rFonts w:ascii="Arial" w:hAnsi="Arial" w:cs="Arial"/>
                <w:color w:val="000000"/>
                <w:sz w:val="18"/>
                <w:szCs w:val="18"/>
                <w:highlight w:val="none"/>
                <w:lang w:val="en-US"/>
              </w:rPr>
            </w:pPr>
          </w:p>
        </w:tc>
        <w:tc>
          <w:tcPr>
            <w:tcW w:w="1743" w:type="dxa"/>
            <w:tcBorders>
              <w:top w:val="nil"/>
              <w:left w:val="nil"/>
              <w:bottom w:val="nil"/>
              <w:right w:val="single" w:color="000000" w:sz="16" w:space="0"/>
            </w:tcBorders>
            <w:shd w:val="clear" w:color="auto" w:fill="FFFFFF"/>
            <w:vAlign w:val="center"/>
          </w:tcPr>
          <w:p w14:paraId="6382F2A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Total</w:t>
            </w:r>
          </w:p>
        </w:tc>
        <w:tc>
          <w:tcPr>
            <w:tcW w:w="1147" w:type="dxa"/>
            <w:tcBorders>
              <w:top w:val="nil"/>
              <w:left w:val="single" w:color="000000" w:sz="16" w:space="0"/>
              <w:bottom w:val="nil"/>
            </w:tcBorders>
            <w:shd w:val="clear" w:color="auto" w:fill="FFFFFF"/>
          </w:tcPr>
          <w:p w14:paraId="484B4F3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1009" w:type="dxa"/>
            <w:tcBorders>
              <w:top w:val="nil"/>
              <w:bottom w:val="nil"/>
            </w:tcBorders>
            <w:shd w:val="clear" w:color="auto" w:fill="FFFFFF"/>
          </w:tcPr>
          <w:p w14:paraId="043ED65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97.9</w:t>
            </w:r>
          </w:p>
        </w:tc>
        <w:tc>
          <w:tcPr>
            <w:tcW w:w="1376" w:type="dxa"/>
            <w:tcBorders>
              <w:top w:val="nil"/>
              <w:bottom w:val="nil"/>
            </w:tcBorders>
            <w:shd w:val="clear" w:color="auto" w:fill="FFFFFF"/>
          </w:tcPr>
          <w:p w14:paraId="48282E1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p>
        </w:tc>
        <w:tc>
          <w:tcPr>
            <w:tcW w:w="1468" w:type="dxa"/>
            <w:tcBorders>
              <w:top w:val="nil"/>
              <w:bottom w:val="nil"/>
              <w:right w:val="single" w:color="000000" w:sz="16" w:space="0"/>
            </w:tcBorders>
            <w:shd w:val="clear" w:color="auto" w:fill="FFFFFF"/>
          </w:tcPr>
          <w:p w14:paraId="1B776613">
            <w:pPr>
              <w:autoSpaceDE w:val="0"/>
              <w:autoSpaceDN w:val="0"/>
              <w:adjustRightInd w:val="0"/>
              <w:spacing w:after="0" w:line="240" w:lineRule="auto"/>
              <w:jc w:val="center"/>
              <w:rPr>
                <w:rFonts w:cs="Times New Roman"/>
                <w:szCs w:val="24"/>
                <w:highlight w:val="none"/>
                <w:lang w:val="en-US"/>
              </w:rPr>
            </w:pPr>
          </w:p>
        </w:tc>
      </w:tr>
      <w:tr w14:paraId="2CCD72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tcBorders>
              <w:top w:val="nil"/>
              <w:left w:val="single" w:color="000000" w:sz="16" w:space="0"/>
              <w:bottom w:val="nil"/>
              <w:right w:val="nil"/>
            </w:tcBorders>
            <w:shd w:val="clear" w:color="auto" w:fill="FFFFFF"/>
            <w:vAlign w:val="center"/>
          </w:tcPr>
          <w:p w14:paraId="47BA924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Missing</w:t>
            </w:r>
          </w:p>
        </w:tc>
        <w:tc>
          <w:tcPr>
            <w:tcW w:w="1743" w:type="dxa"/>
            <w:tcBorders>
              <w:top w:val="nil"/>
              <w:left w:val="nil"/>
              <w:bottom w:val="nil"/>
              <w:right w:val="single" w:color="000000" w:sz="16" w:space="0"/>
            </w:tcBorders>
            <w:shd w:val="clear" w:color="auto" w:fill="FFFFFF"/>
            <w:vAlign w:val="center"/>
          </w:tcPr>
          <w:p w14:paraId="029EF10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System</w:t>
            </w:r>
          </w:p>
        </w:tc>
        <w:tc>
          <w:tcPr>
            <w:tcW w:w="1147" w:type="dxa"/>
            <w:tcBorders>
              <w:top w:val="nil"/>
              <w:left w:val="single" w:color="000000" w:sz="16" w:space="0"/>
              <w:bottom w:val="nil"/>
            </w:tcBorders>
            <w:shd w:val="clear" w:color="auto" w:fill="FFFFFF"/>
          </w:tcPr>
          <w:p w14:paraId="3BBA555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6</w:t>
            </w:r>
          </w:p>
        </w:tc>
        <w:tc>
          <w:tcPr>
            <w:tcW w:w="1009" w:type="dxa"/>
            <w:tcBorders>
              <w:top w:val="nil"/>
              <w:bottom w:val="nil"/>
            </w:tcBorders>
            <w:shd w:val="clear" w:color="auto" w:fill="FFFFFF"/>
          </w:tcPr>
          <w:p w14:paraId="021DD21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2.1</w:t>
            </w:r>
          </w:p>
        </w:tc>
        <w:tc>
          <w:tcPr>
            <w:tcW w:w="1376" w:type="dxa"/>
            <w:tcBorders>
              <w:top w:val="nil"/>
              <w:bottom w:val="nil"/>
            </w:tcBorders>
            <w:shd w:val="clear" w:color="auto" w:fill="FFFFFF"/>
          </w:tcPr>
          <w:p w14:paraId="135DDBD2">
            <w:pPr>
              <w:autoSpaceDE w:val="0"/>
              <w:autoSpaceDN w:val="0"/>
              <w:adjustRightInd w:val="0"/>
              <w:spacing w:after="0" w:line="240" w:lineRule="auto"/>
              <w:jc w:val="center"/>
              <w:rPr>
                <w:rFonts w:cs="Times New Roman"/>
                <w:szCs w:val="24"/>
                <w:highlight w:val="none"/>
                <w:lang w:val="en-US"/>
              </w:rPr>
            </w:pPr>
          </w:p>
        </w:tc>
        <w:tc>
          <w:tcPr>
            <w:tcW w:w="1468" w:type="dxa"/>
            <w:tcBorders>
              <w:top w:val="nil"/>
              <w:bottom w:val="nil"/>
              <w:right w:val="single" w:color="000000" w:sz="16" w:space="0"/>
            </w:tcBorders>
            <w:shd w:val="clear" w:color="auto" w:fill="FFFFFF"/>
          </w:tcPr>
          <w:p w14:paraId="5C564ED9">
            <w:pPr>
              <w:autoSpaceDE w:val="0"/>
              <w:autoSpaceDN w:val="0"/>
              <w:adjustRightInd w:val="0"/>
              <w:spacing w:after="0" w:line="240" w:lineRule="auto"/>
              <w:jc w:val="center"/>
              <w:rPr>
                <w:rFonts w:cs="Times New Roman"/>
                <w:szCs w:val="24"/>
                <w:highlight w:val="none"/>
                <w:lang w:val="en-US"/>
              </w:rPr>
            </w:pPr>
          </w:p>
        </w:tc>
      </w:tr>
      <w:tr w14:paraId="11CFD5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676" w:type="dxa"/>
            <w:gridSpan w:val="2"/>
            <w:tcBorders>
              <w:top w:val="nil"/>
              <w:left w:val="single" w:color="000000" w:sz="16" w:space="0"/>
              <w:bottom w:val="single" w:color="000000" w:sz="16" w:space="0"/>
              <w:right w:val="nil"/>
            </w:tcBorders>
            <w:shd w:val="clear" w:color="auto" w:fill="FFFFFF"/>
            <w:vAlign w:val="center"/>
          </w:tcPr>
          <w:p w14:paraId="6528D75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Total</w:t>
            </w:r>
          </w:p>
        </w:tc>
        <w:tc>
          <w:tcPr>
            <w:tcW w:w="1147" w:type="dxa"/>
            <w:tcBorders>
              <w:top w:val="nil"/>
              <w:left w:val="single" w:color="000000" w:sz="16" w:space="0"/>
              <w:bottom w:val="single" w:color="000000" w:sz="16" w:space="0"/>
            </w:tcBorders>
            <w:shd w:val="clear" w:color="auto" w:fill="FFFFFF"/>
          </w:tcPr>
          <w:p w14:paraId="525520D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288</w:t>
            </w:r>
          </w:p>
        </w:tc>
        <w:tc>
          <w:tcPr>
            <w:tcW w:w="1009" w:type="dxa"/>
            <w:tcBorders>
              <w:top w:val="nil"/>
              <w:bottom w:val="single" w:color="000000" w:sz="16" w:space="0"/>
            </w:tcBorders>
            <w:shd w:val="clear" w:color="auto" w:fill="FFFFFF"/>
          </w:tcPr>
          <w:p w14:paraId="0602440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p>
        </w:tc>
        <w:tc>
          <w:tcPr>
            <w:tcW w:w="1376" w:type="dxa"/>
            <w:tcBorders>
              <w:top w:val="nil"/>
              <w:bottom w:val="single" w:color="000000" w:sz="16" w:space="0"/>
            </w:tcBorders>
            <w:shd w:val="clear" w:color="auto" w:fill="FFFFFF"/>
          </w:tcPr>
          <w:p w14:paraId="13F89A33">
            <w:pPr>
              <w:autoSpaceDE w:val="0"/>
              <w:autoSpaceDN w:val="0"/>
              <w:adjustRightInd w:val="0"/>
              <w:spacing w:after="0" w:line="240" w:lineRule="auto"/>
              <w:jc w:val="center"/>
              <w:rPr>
                <w:rFonts w:cs="Times New Roman"/>
                <w:szCs w:val="24"/>
                <w:highlight w:val="none"/>
                <w:lang w:val="en-US"/>
              </w:rPr>
            </w:pPr>
          </w:p>
        </w:tc>
        <w:tc>
          <w:tcPr>
            <w:tcW w:w="1468" w:type="dxa"/>
            <w:tcBorders>
              <w:top w:val="nil"/>
              <w:bottom w:val="single" w:color="000000" w:sz="16" w:space="0"/>
              <w:right w:val="single" w:color="000000" w:sz="16" w:space="0"/>
            </w:tcBorders>
            <w:shd w:val="clear" w:color="auto" w:fill="FFFFFF"/>
          </w:tcPr>
          <w:p w14:paraId="6A785EDA">
            <w:pPr>
              <w:autoSpaceDE w:val="0"/>
              <w:autoSpaceDN w:val="0"/>
              <w:adjustRightInd w:val="0"/>
              <w:spacing w:after="0" w:line="240" w:lineRule="auto"/>
              <w:jc w:val="center"/>
              <w:rPr>
                <w:rFonts w:cs="Times New Roman"/>
                <w:szCs w:val="24"/>
                <w:highlight w:val="none"/>
                <w:lang w:val="en-US"/>
              </w:rPr>
            </w:pPr>
          </w:p>
        </w:tc>
      </w:tr>
    </w:tbl>
    <w:p w14:paraId="55A8E6A3">
      <w:pPr>
        <w:jc w:val="center"/>
        <w:rPr>
          <w:highlight w:val="none"/>
          <w:lang w:val="en-US"/>
        </w:rPr>
      </w:pPr>
    </w:p>
    <w:p w14:paraId="4F3E2AAD">
      <w:pPr>
        <w:autoSpaceDE w:val="0"/>
        <w:autoSpaceDN w:val="0"/>
        <w:adjustRightInd w:val="0"/>
        <w:spacing w:after="0" w:line="240" w:lineRule="auto"/>
        <w:jc w:val="center"/>
        <w:rPr>
          <w:rFonts w:cs="Times New Roman"/>
          <w:szCs w:val="24"/>
          <w:highlight w:val="none"/>
          <w:lang w:val="en-US"/>
        </w:rPr>
      </w:pPr>
    </w:p>
    <w:p w14:paraId="0A12CABA">
      <w:pPr>
        <w:autoSpaceDE w:val="0"/>
        <w:autoSpaceDN w:val="0"/>
        <w:adjustRightInd w:val="0"/>
        <w:spacing w:after="0" w:line="240" w:lineRule="auto"/>
        <w:jc w:val="center"/>
        <w:rPr>
          <w:rFonts w:cs="Times New Roman"/>
          <w:szCs w:val="24"/>
          <w:highlight w:val="none"/>
          <w:lang w:val="en-US"/>
        </w:rPr>
      </w:pPr>
    </w:p>
    <w:tbl>
      <w:tblPr>
        <w:tblStyle w:val="12"/>
        <w:tblW w:w="767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33"/>
        <w:gridCol w:w="1744"/>
        <w:gridCol w:w="1147"/>
        <w:gridCol w:w="1009"/>
        <w:gridCol w:w="1377"/>
        <w:gridCol w:w="1469"/>
      </w:tblGrid>
      <w:tr w14:paraId="7076A2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679" w:type="dxa"/>
            <w:gridSpan w:val="6"/>
            <w:tcBorders>
              <w:top w:val="nil"/>
              <w:left w:val="nil"/>
              <w:bottom w:val="nil"/>
              <w:right w:val="nil"/>
            </w:tcBorders>
            <w:shd w:val="clear" w:color="auto" w:fill="FFFFFF"/>
          </w:tcPr>
          <w:p w14:paraId="654AF6A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b/>
                <w:bCs/>
                <w:color w:val="000000"/>
                <w:sz w:val="18"/>
                <w:szCs w:val="18"/>
                <w:highlight w:val="none"/>
                <w:lang w:val="en-US"/>
              </w:rPr>
              <w:t>Q5.</w:t>
            </w:r>
          </w:p>
        </w:tc>
      </w:tr>
      <w:tr w14:paraId="281B32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677" w:type="dxa"/>
            <w:gridSpan w:val="2"/>
            <w:tcBorders>
              <w:top w:val="single" w:color="000000" w:sz="16" w:space="0"/>
              <w:left w:val="single" w:color="000000" w:sz="16" w:space="0"/>
              <w:bottom w:val="single" w:color="000000" w:sz="16" w:space="0"/>
              <w:right w:val="nil"/>
            </w:tcBorders>
            <w:shd w:val="clear" w:color="auto" w:fill="FFFFFF"/>
          </w:tcPr>
          <w:p w14:paraId="3BDD48F6">
            <w:pPr>
              <w:autoSpaceDE w:val="0"/>
              <w:autoSpaceDN w:val="0"/>
              <w:adjustRightInd w:val="0"/>
              <w:spacing w:after="0" w:line="240" w:lineRule="auto"/>
              <w:jc w:val="center"/>
              <w:rPr>
                <w:rFonts w:cs="Times New Roman"/>
                <w:szCs w:val="24"/>
                <w:highlight w:val="none"/>
                <w:lang w:val="en-US"/>
              </w:rPr>
            </w:pPr>
          </w:p>
        </w:tc>
        <w:tc>
          <w:tcPr>
            <w:tcW w:w="1147" w:type="dxa"/>
            <w:tcBorders>
              <w:top w:val="single" w:color="000000" w:sz="16" w:space="0"/>
              <w:left w:val="single" w:color="000000" w:sz="16" w:space="0"/>
              <w:bottom w:val="single" w:color="000000" w:sz="16" w:space="0"/>
            </w:tcBorders>
            <w:shd w:val="clear" w:color="auto" w:fill="FFFFFF"/>
          </w:tcPr>
          <w:p w14:paraId="7BCC3E3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Frequency</w:t>
            </w:r>
          </w:p>
        </w:tc>
        <w:tc>
          <w:tcPr>
            <w:tcW w:w="1009" w:type="dxa"/>
            <w:tcBorders>
              <w:top w:val="single" w:color="000000" w:sz="16" w:space="0"/>
              <w:bottom w:val="single" w:color="000000" w:sz="16" w:space="0"/>
            </w:tcBorders>
            <w:shd w:val="clear" w:color="auto" w:fill="FFFFFF"/>
          </w:tcPr>
          <w:p w14:paraId="508692B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Percent</w:t>
            </w:r>
          </w:p>
        </w:tc>
        <w:tc>
          <w:tcPr>
            <w:tcW w:w="1377" w:type="dxa"/>
            <w:tcBorders>
              <w:top w:val="single" w:color="000000" w:sz="16" w:space="0"/>
              <w:bottom w:val="single" w:color="000000" w:sz="16" w:space="0"/>
            </w:tcBorders>
            <w:shd w:val="clear" w:color="auto" w:fill="FFFFFF"/>
          </w:tcPr>
          <w:p w14:paraId="32598E4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Valid Percent</w:t>
            </w:r>
          </w:p>
        </w:tc>
        <w:tc>
          <w:tcPr>
            <w:tcW w:w="1469" w:type="dxa"/>
            <w:tcBorders>
              <w:top w:val="single" w:color="000000" w:sz="16" w:space="0"/>
              <w:bottom w:val="single" w:color="000000" w:sz="16" w:space="0"/>
              <w:right w:val="single" w:color="000000" w:sz="16" w:space="0"/>
            </w:tcBorders>
            <w:shd w:val="clear" w:color="auto" w:fill="FFFFFF"/>
          </w:tcPr>
          <w:p w14:paraId="1AA8F14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Cumulative Percent</w:t>
            </w:r>
          </w:p>
        </w:tc>
      </w:tr>
      <w:tr w14:paraId="0FE992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vMerge w:val="restart"/>
            <w:tcBorders>
              <w:top w:val="single" w:color="000000" w:sz="16" w:space="0"/>
              <w:left w:val="single" w:color="000000" w:sz="16" w:space="0"/>
              <w:bottom w:val="nil"/>
              <w:right w:val="nil"/>
            </w:tcBorders>
            <w:shd w:val="clear" w:color="auto" w:fill="FFFFFF"/>
            <w:vAlign w:val="center"/>
          </w:tcPr>
          <w:p w14:paraId="6D57DB9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Valid</w:t>
            </w:r>
          </w:p>
        </w:tc>
        <w:tc>
          <w:tcPr>
            <w:tcW w:w="1744" w:type="dxa"/>
            <w:tcBorders>
              <w:top w:val="single" w:color="000000" w:sz="16" w:space="0"/>
              <w:left w:val="nil"/>
              <w:bottom w:val="nil"/>
              <w:right w:val="single" w:color="000000" w:sz="16" w:space="0"/>
            </w:tcBorders>
            <w:shd w:val="clear" w:color="auto" w:fill="FFFFFF"/>
            <w:vAlign w:val="center"/>
          </w:tcPr>
          <w:p w14:paraId="46C5F59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Strongly disagree</w:t>
            </w:r>
          </w:p>
        </w:tc>
        <w:tc>
          <w:tcPr>
            <w:tcW w:w="1147" w:type="dxa"/>
            <w:tcBorders>
              <w:top w:val="single" w:color="000000" w:sz="16" w:space="0"/>
              <w:left w:val="single" w:color="000000" w:sz="16" w:space="0"/>
              <w:bottom w:val="nil"/>
            </w:tcBorders>
            <w:shd w:val="clear" w:color="auto" w:fill="FFFFFF"/>
          </w:tcPr>
          <w:p w14:paraId="1BA6E85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57</w:t>
            </w:r>
          </w:p>
        </w:tc>
        <w:tc>
          <w:tcPr>
            <w:tcW w:w="1009" w:type="dxa"/>
            <w:tcBorders>
              <w:top w:val="single" w:color="000000" w:sz="16" w:space="0"/>
              <w:bottom w:val="nil"/>
            </w:tcBorders>
            <w:shd w:val="clear" w:color="auto" w:fill="FFFFFF"/>
          </w:tcPr>
          <w:p w14:paraId="538244F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19.8</w:t>
            </w:r>
          </w:p>
        </w:tc>
        <w:tc>
          <w:tcPr>
            <w:tcW w:w="1377" w:type="dxa"/>
            <w:tcBorders>
              <w:top w:val="single" w:color="000000" w:sz="16" w:space="0"/>
              <w:bottom w:val="nil"/>
            </w:tcBorders>
            <w:shd w:val="clear" w:color="auto" w:fill="FFFFFF"/>
          </w:tcPr>
          <w:p w14:paraId="030BB97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20.2</w:t>
            </w:r>
          </w:p>
        </w:tc>
        <w:tc>
          <w:tcPr>
            <w:tcW w:w="1469" w:type="dxa"/>
            <w:tcBorders>
              <w:top w:val="single" w:color="000000" w:sz="16" w:space="0"/>
              <w:bottom w:val="nil"/>
              <w:right w:val="single" w:color="000000" w:sz="16" w:space="0"/>
            </w:tcBorders>
            <w:shd w:val="clear" w:color="auto" w:fill="FFFFFF"/>
          </w:tcPr>
          <w:p w14:paraId="2B77DC2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20.2</w:t>
            </w:r>
          </w:p>
        </w:tc>
      </w:tr>
      <w:tr w14:paraId="76928D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vMerge w:val="continue"/>
            <w:tcBorders>
              <w:top w:val="single" w:color="000000" w:sz="16" w:space="0"/>
              <w:left w:val="single" w:color="000000" w:sz="16" w:space="0"/>
              <w:bottom w:val="nil"/>
              <w:right w:val="nil"/>
            </w:tcBorders>
            <w:shd w:val="clear" w:color="auto" w:fill="FFFFFF"/>
            <w:vAlign w:val="center"/>
          </w:tcPr>
          <w:p w14:paraId="12DC8681">
            <w:pPr>
              <w:autoSpaceDE w:val="0"/>
              <w:autoSpaceDN w:val="0"/>
              <w:adjustRightInd w:val="0"/>
              <w:spacing w:after="0" w:line="240" w:lineRule="auto"/>
              <w:jc w:val="center"/>
              <w:rPr>
                <w:rFonts w:ascii="Arial" w:hAnsi="Arial" w:cs="Arial"/>
                <w:color w:val="000000"/>
                <w:sz w:val="18"/>
                <w:szCs w:val="18"/>
                <w:highlight w:val="none"/>
                <w:lang w:val="en-US"/>
              </w:rPr>
            </w:pPr>
          </w:p>
        </w:tc>
        <w:tc>
          <w:tcPr>
            <w:tcW w:w="1744" w:type="dxa"/>
            <w:tcBorders>
              <w:top w:val="nil"/>
              <w:left w:val="nil"/>
              <w:bottom w:val="nil"/>
              <w:right w:val="single" w:color="000000" w:sz="16" w:space="0"/>
            </w:tcBorders>
            <w:shd w:val="clear" w:color="auto" w:fill="FFFFFF"/>
            <w:vAlign w:val="center"/>
          </w:tcPr>
          <w:p w14:paraId="183FACE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Disagree</w:t>
            </w:r>
          </w:p>
        </w:tc>
        <w:tc>
          <w:tcPr>
            <w:tcW w:w="1147" w:type="dxa"/>
            <w:tcBorders>
              <w:top w:val="nil"/>
              <w:left w:val="single" w:color="000000" w:sz="16" w:space="0"/>
              <w:bottom w:val="nil"/>
            </w:tcBorders>
            <w:shd w:val="clear" w:color="auto" w:fill="FFFFFF"/>
          </w:tcPr>
          <w:p w14:paraId="69E20F7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71</w:t>
            </w:r>
          </w:p>
        </w:tc>
        <w:tc>
          <w:tcPr>
            <w:tcW w:w="1009" w:type="dxa"/>
            <w:tcBorders>
              <w:top w:val="nil"/>
              <w:bottom w:val="nil"/>
            </w:tcBorders>
            <w:shd w:val="clear" w:color="auto" w:fill="FFFFFF"/>
          </w:tcPr>
          <w:p w14:paraId="3C09424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24.7</w:t>
            </w:r>
          </w:p>
        </w:tc>
        <w:tc>
          <w:tcPr>
            <w:tcW w:w="1377" w:type="dxa"/>
            <w:tcBorders>
              <w:top w:val="nil"/>
              <w:bottom w:val="nil"/>
            </w:tcBorders>
            <w:shd w:val="clear" w:color="auto" w:fill="FFFFFF"/>
          </w:tcPr>
          <w:p w14:paraId="266EFF6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25.2</w:t>
            </w:r>
          </w:p>
        </w:tc>
        <w:tc>
          <w:tcPr>
            <w:tcW w:w="1469" w:type="dxa"/>
            <w:tcBorders>
              <w:top w:val="nil"/>
              <w:bottom w:val="nil"/>
              <w:right w:val="single" w:color="000000" w:sz="16" w:space="0"/>
            </w:tcBorders>
            <w:shd w:val="clear" w:color="auto" w:fill="FFFFFF"/>
          </w:tcPr>
          <w:p w14:paraId="3C3C4C1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45.4</w:t>
            </w:r>
          </w:p>
        </w:tc>
      </w:tr>
      <w:tr w14:paraId="49A598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vMerge w:val="continue"/>
            <w:tcBorders>
              <w:top w:val="single" w:color="000000" w:sz="16" w:space="0"/>
              <w:left w:val="single" w:color="000000" w:sz="16" w:space="0"/>
              <w:bottom w:val="nil"/>
              <w:right w:val="nil"/>
            </w:tcBorders>
            <w:shd w:val="clear" w:color="auto" w:fill="FFFFFF"/>
            <w:vAlign w:val="center"/>
          </w:tcPr>
          <w:p w14:paraId="678379C1">
            <w:pPr>
              <w:autoSpaceDE w:val="0"/>
              <w:autoSpaceDN w:val="0"/>
              <w:adjustRightInd w:val="0"/>
              <w:spacing w:after="0" w:line="240" w:lineRule="auto"/>
              <w:jc w:val="center"/>
              <w:rPr>
                <w:rFonts w:ascii="Arial" w:hAnsi="Arial" w:cs="Arial"/>
                <w:color w:val="000000"/>
                <w:sz w:val="18"/>
                <w:szCs w:val="18"/>
                <w:highlight w:val="none"/>
                <w:lang w:val="en-US"/>
              </w:rPr>
            </w:pPr>
          </w:p>
        </w:tc>
        <w:tc>
          <w:tcPr>
            <w:tcW w:w="1744" w:type="dxa"/>
            <w:tcBorders>
              <w:top w:val="nil"/>
              <w:left w:val="nil"/>
              <w:bottom w:val="nil"/>
              <w:right w:val="single" w:color="000000" w:sz="16" w:space="0"/>
            </w:tcBorders>
            <w:shd w:val="clear" w:color="auto" w:fill="FFFFFF"/>
            <w:vAlign w:val="center"/>
          </w:tcPr>
          <w:p w14:paraId="321396B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Agree</w:t>
            </w:r>
          </w:p>
        </w:tc>
        <w:tc>
          <w:tcPr>
            <w:tcW w:w="1147" w:type="dxa"/>
            <w:tcBorders>
              <w:top w:val="nil"/>
              <w:left w:val="single" w:color="000000" w:sz="16" w:space="0"/>
              <w:bottom w:val="nil"/>
            </w:tcBorders>
            <w:shd w:val="clear" w:color="auto" w:fill="FFFFFF"/>
          </w:tcPr>
          <w:p w14:paraId="7DBA5BA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154</w:t>
            </w:r>
          </w:p>
        </w:tc>
        <w:tc>
          <w:tcPr>
            <w:tcW w:w="1009" w:type="dxa"/>
            <w:tcBorders>
              <w:top w:val="nil"/>
              <w:bottom w:val="nil"/>
            </w:tcBorders>
            <w:shd w:val="clear" w:color="auto" w:fill="FFFFFF"/>
          </w:tcPr>
          <w:p w14:paraId="51EFBB1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53.5</w:t>
            </w:r>
          </w:p>
        </w:tc>
        <w:tc>
          <w:tcPr>
            <w:tcW w:w="1377" w:type="dxa"/>
            <w:tcBorders>
              <w:top w:val="nil"/>
              <w:bottom w:val="nil"/>
            </w:tcBorders>
            <w:shd w:val="clear" w:color="auto" w:fill="FFFFFF"/>
          </w:tcPr>
          <w:p w14:paraId="0625B99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54.6</w:t>
            </w:r>
          </w:p>
        </w:tc>
        <w:tc>
          <w:tcPr>
            <w:tcW w:w="1469" w:type="dxa"/>
            <w:tcBorders>
              <w:top w:val="nil"/>
              <w:bottom w:val="nil"/>
              <w:right w:val="single" w:color="000000" w:sz="16" w:space="0"/>
            </w:tcBorders>
            <w:shd w:val="clear" w:color="auto" w:fill="FFFFFF"/>
          </w:tcPr>
          <w:p w14:paraId="40D66E3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p>
        </w:tc>
      </w:tr>
      <w:tr w14:paraId="27E679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vMerge w:val="continue"/>
            <w:tcBorders>
              <w:top w:val="single" w:color="000000" w:sz="16" w:space="0"/>
              <w:left w:val="single" w:color="000000" w:sz="16" w:space="0"/>
              <w:bottom w:val="nil"/>
              <w:right w:val="nil"/>
            </w:tcBorders>
            <w:shd w:val="clear" w:color="auto" w:fill="FFFFFF"/>
            <w:vAlign w:val="center"/>
          </w:tcPr>
          <w:p w14:paraId="070DD8B5">
            <w:pPr>
              <w:autoSpaceDE w:val="0"/>
              <w:autoSpaceDN w:val="0"/>
              <w:adjustRightInd w:val="0"/>
              <w:spacing w:after="0" w:line="240" w:lineRule="auto"/>
              <w:jc w:val="center"/>
              <w:rPr>
                <w:rFonts w:ascii="Arial" w:hAnsi="Arial" w:cs="Arial"/>
                <w:color w:val="000000"/>
                <w:sz w:val="18"/>
                <w:szCs w:val="18"/>
                <w:highlight w:val="none"/>
                <w:lang w:val="en-US"/>
              </w:rPr>
            </w:pPr>
          </w:p>
        </w:tc>
        <w:tc>
          <w:tcPr>
            <w:tcW w:w="1744" w:type="dxa"/>
            <w:tcBorders>
              <w:top w:val="nil"/>
              <w:left w:val="nil"/>
              <w:bottom w:val="nil"/>
              <w:right w:val="single" w:color="000000" w:sz="16" w:space="0"/>
            </w:tcBorders>
            <w:shd w:val="clear" w:color="auto" w:fill="FFFFFF"/>
            <w:vAlign w:val="center"/>
          </w:tcPr>
          <w:p w14:paraId="5B3BD48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Total</w:t>
            </w:r>
          </w:p>
        </w:tc>
        <w:tc>
          <w:tcPr>
            <w:tcW w:w="1147" w:type="dxa"/>
            <w:tcBorders>
              <w:top w:val="nil"/>
              <w:left w:val="single" w:color="000000" w:sz="16" w:space="0"/>
              <w:bottom w:val="nil"/>
            </w:tcBorders>
            <w:shd w:val="clear" w:color="auto" w:fill="FFFFFF"/>
          </w:tcPr>
          <w:p w14:paraId="7B7BCDC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1009" w:type="dxa"/>
            <w:tcBorders>
              <w:top w:val="nil"/>
              <w:bottom w:val="nil"/>
            </w:tcBorders>
            <w:shd w:val="clear" w:color="auto" w:fill="FFFFFF"/>
          </w:tcPr>
          <w:p w14:paraId="19D9ADB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97.9</w:t>
            </w:r>
          </w:p>
        </w:tc>
        <w:tc>
          <w:tcPr>
            <w:tcW w:w="1377" w:type="dxa"/>
            <w:tcBorders>
              <w:top w:val="nil"/>
              <w:bottom w:val="nil"/>
            </w:tcBorders>
            <w:shd w:val="clear" w:color="auto" w:fill="FFFFFF"/>
          </w:tcPr>
          <w:p w14:paraId="6CFCE5E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p>
        </w:tc>
        <w:tc>
          <w:tcPr>
            <w:tcW w:w="1469" w:type="dxa"/>
            <w:tcBorders>
              <w:top w:val="nil"/>
              <w:bottom w:val="nil"/>
              <w:right w:val="single" w:color="000000" w:sz="16" w:space="0"/>
            </w:tcBorders>
            <w:shd w:val="clear" w:color="auto" w:fill="FFFFFF"/>
          </w:tcPr>
          <w:p w14:paraId="14C9DD10">
            <w:pPr>
              <w:autoSpaceDE w:val="0"/>
              <w:autoSpaceDN w:val="0"/>
              <w:adjustRightInd w:val="0"/>
              <w:spacing w:after="0" w:line="240" w:lineRule="auto"/>
              <w:jc w:val="center"/>
              <w:rPr>
                <w:rFonts w:cs="Times New Roman"/>
                <w:szCs w:val="24"/>
                <w:highlight w:val="none"/>
                <w:lang w:val="en-US"/>
              </w:rPr>
            </w:pPr>
          </w:p>
        </w:tc>
      </w:tr>
      <w:tr w14:paraId="12565F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tcBorders>
              <w:top w:val="nil"/>
              <w:left w:val="single" w:color="000000" w:sz="16" w:space="0"/>
              <w:bottom w:val="nil"/>
              <w:right w:val="nil"/>
            </w:tcBorders>
            <w:shd w:val="clear" w:color="auto" w:fill="FFFFFF"/>
            <w:vAlign w:val="center"/>
          </w:tcPr>
          <w:p w14:paraId="5ADD4BA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Missing</w:t>
            </w:r>
          </w:p>
        </w:tc>
        <w:tc>
          <w:tcPr>
            <w:tcW w:w="1744" w:type="dxa"/>
            <w:tcBorders>
              <w:top w:val="nil"/>
              <w:left w:val="nil"/>
              <w:bottom w:val="nil"/>
              <w:right w:val="single" w:color="000000" w:sz="16" w:space="0"/>
            </w:tcBorders>
            <w:shd w:val="clear" w:color="auto" w:fill="FFFFFF"/>
            <w:vAlign w:val="center"/>
          </w:tcPr>
          <w:p w14:paraId="4BD2D0D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System</w:t>
            </w:r>
          </w:p>
        </w:tc>
        <w:tc>
          <w:tcPr>
            <w:tcW w:w="1147" w:type="dxa"/>
            <w:tcBorders>
              <w:top w:val="nil"/>
              <w:left w:val="single" w:color="000000" w:sz="16" w:space="0"/>
              <w:bottom w:val="nil"/>
            </w:tcBorders>
            <w:shd w:val="clear" w:color="auto" w:fill="FFFFFF"/>
          </w:tcPr>
          <w:p w14:paraId="59526AC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6</w:t>
            </w:r>
          </w:p>
        </w:tc>
        <w:tc>
          <w:tcPr>
            <w:tcW w:w="1009" w:type="dxa"/>
            <w:tcBorders>
              <w:top w:val="nil"/>
              <w:bottom w:val="nil"/>
            </w:tcBorders>
            <w:shd w:val="clear" w:color="auto" w:fill="FFFFFF"/>
          </w:tcPr>
          <w:p w14:paraId="2B3CCEF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2.1</w:t>
            </w:r>
          </w:p>
        </w:tc>
        <w:tc>
          <w:tcPr>
            <w:tcW w:w="1377" w:type="dxa"/>
            <w:tcBorders>
              <w:top w:val="nil"/>
              <w:bottom w:val="nil"/>
            </w:tcBorders>
            <w:shd w:val="clear" w:color="auto" w:fill="FFFFFF"/>
          </w:tcPr>
          <w:p w14:paraId="4EBABEC5">
            <w:pPr>
              <w:autoSpaceDE w:val="0"/>
              <w:autoSpaceDN w:val="0"/>
              <w:adjustRightInd w:val="0"/>
              <w:spacing w:after="0" w:line="240" w:lineRule="auto"/>
              <w:jc w:val="center"/>
              <w:rPr>
                <w:rFonts w:cs="Times New Roman"/>
                <w:szCs w:val="24"/>
                <w:highlight w:val="none"/>
                <w:lang w:val="en-US"/>
              </w:rPr>
            </w:pPr>
          </w:p>
        </w:tc>
        <w:tc>
          <w:tcPr>
            <w:tcW w:w="1469" w:type="dxa"/>
            <w:tcBorders>
              <w:top w:val="nil"/>
              <w:bottom w:val="nil"/>
              <w:right w:val="single" w:color="000000" w:sz="16" w:space="0"/>
            </w:tcBorders>
            <w:shd w:val="clear" w:color="auto" w:fill="FFFFFF"/>
          </w:tcPr>
          <w:p w14:paraId="30C8DF83">
            <w:pPr>
              <w:autoSpaceDE w:val="0"/>
              <w:autoSpaceDN w:val="0"/>
              <w:adjustRightInd w:val="0"/>
              <w:spacing w:after="0" w:line="240" w:lineRule="auto"/>
              <w:jc w:val="center"/>
              <w:rPr>
                <w:rFonts w:cs="Times New Roman"/>
                <w:szCs w:val="24"/>
                <w:highlight w:val="none"/>
                <w:lang w:val="en-US"/>
              </w:rPr>
            </w:pPr>
          </w:p>
        </w:tc>
      </w:tr>
      <w:tr w14:paraId="1EEB80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677" w:type="dxa"/>
            <w:gridSpan w:val="2"/>
            <w:tcBorders>
              <w:top w:val="nil"/>
              <w:left w:val="single" w:color="000000" w:sz="16" w:space="0"/>
              <w:bottom w:val="single" w:color="000000" w:sz="16" w:space="0"/>
              <w:right w:val="nil"/>
            </w:tcBorders>
            <w:shd w:val="clear" w:color="auto" w:fill="FFFFFF"/>
            <w:vAlign w:val="center"/>
          </w:tcPr>
          <w:p w14:paraId="4382DFC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Total</w:t>
            </w:r>
          </w:p>
        </w:tc>
        <w:tc>
          <w:tcPr>
            <w:tcW w:w="1147" w:type="dxa"/>
            <w:tcBorders>
              <w:top w:val="nil"/>
              <w:left w:val="single" w:color="000000" w:sz="16" w:space="0"/>
              <w:bottom w:val="single" w:color="000000" w:sz="16" w:space="0"/>
            </w:tcBorders>
            <w:shd w:val="clear" w:color="auto" w:fill="FFFFFF"/>
          </w:tcPr>
          <w:p w14:paraId="5BA33BB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288</w:t>
            </w:r>
          </w:p>
        </w:tc>
        <w:tc>
          <w:tcPr>
            <w:tcW w:w="1009" w:type="dxa"/>
            <w:tcBorders>
              <w:top w:val="nil"/>
              <w:bottom w:val="single" w:color="000000" w:sz="16" w:space="0"/>
            </w:tcBorders>
            <w:shd w:val="clear" w:color="auto" w:fill="FFFFFF"/>
          </w:tcPr>
          <w:p w14:paraId="651F55A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p>
        </w:tc>
        <w:tc>
          <w:tcPr>
            <w:tcW w:w="1377" w:type="dxa"/>
            <w:tcBorders>
              <w:top w:val="nil"/>
              <w:bottom w:val="single" w:color="000000" w:sz="16" w:space="0"/>
            </w:tcBorders>
            <w:shd w:val="clear" w:color="auto" w:fill="FFFFFF"/>
          </w:tcPr>
          <w:p w14:paraId="6AC97661">
            <w:pPr>
              <w:autoSpaceDE w:val="0"/>
              <w:autoSpaceDN w:val="0"/>
              <w:adjustRightInd w:val="0"/>
              <w:spacing w:after="0" w:line="240" w:lineRule="auto"/>
              <w:jc w:val="center"/>
              <w:rPr>
                <w:rFonts w:cs="Times New Roman"/>
                <w:szCs w:val="24"/>
                <w:highlight w:val="none"/>
                <w:lang w:val="en-US"/>
              </w:rPr>
            </w:pPr>
          </w:p>
        </w:tc>
        <w:tc>
          <w:tcPr>
            <w:tcW w:w="1469" w:type="dxa"/>
            <w:tcBorders>
              <w:top w:val="nil"/>
              <w:bottom w:val="single" w:color="000000" w:sz="16" w:space="0"/>
              <w:right w:val="single" w:color="000000" w:sz="16" w:space="0"/>
            </w:tcBorders>
            <w:shd w:val="clear" w:color="auto" w:fill="FFFFFF"/>
          </w:tcPr>
          <w:p w14:paraId="1388F911">
            <w:pPr>
              <w:autoSpaceDE w:val="0"/>
              <w:autoSpaceDN w:val="0"/>
              <w:adjustRightInd w:val="0"/>
              <w:spacing w:after="0" w:line="240" w:lineRule="auto"/>
              <w:jc w:val="center"/>
              <w:rPr>
                <w:rFonts w:cs="Times New Roman"/>
                <w:szCs w:val="24"/>
                <w:highlight w:val="none"/>
                <w:lang w:val="en-US"/>
              </w:rPr>
            </w:pPr>
          </w:p>
        </w:tc>
      </w:tr>
    </w:tbl>
    <w:p w14:paraId="5B75E28E">
      <w:pPr>
        <w:adjustRightInd w:val="0"/>
        <w:jc w:val="center"/>
        <w:rPr>
          <w:rFonts w:cs="Times New Roman"/>
          <w:szCs w:val="24"/>
          <w:highlight w:val="none"/>
          <w:lang w:val="en-US"/>
        </w:rPr>
      </w:pPr>
    </w:p>
    <w:p w14:paraId="517A776E">
      <w:pPr>
        <w:autoSpaceDE w:val="0"/>
        <w:autoSpaceDN w:val="0"/>
        <w:adjustRightInd w:val="0"/>
        <w:spacing w:after="0" w:line="240" w:lineRule="auto"/>
        <w:jc w:val="center"/>
        <w:rPr>
          <w:rFonts w:cs="Times New Roman"/>
          <w:szCs w:val="24"/>
          <w:highlight w:val="none"/>
          <w:lang w:val="en-US"/>
        </w:rPr>
      </w:pPr>
    </w:p>
    <w:tbl>
      <w:tblPr>
        <w:tblStyle w:val="12"/>
        <w:tblW w:w="767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33"/>
        <w:gridCol w:w="1744"/>
        <w:gridCol w:w="1147"/>
        <w:gridCol w:w="1009"/>
        <w:gridCol w:w="1377"/>
        <w:gridCol w:w="1469"/>
      </w:tblGrid>
      <w:tr w14:paraId="3774B9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676" w:type="dxa"/>
            <w:gridSpan w:val="6"/>
            <w:tcBorders>
              <w:top w:val="nil"/>
              <w:left w:val="nil"/>
              <w:bottom w:val="nil"/>
              <w:right w:val="nil"/>
            </w:tcBorders>
            <w:shd w:val="clear" w:color="auto" w:fill="FFFFFF"/>
          </w:tcPr>
          <w:p w14:paraId="01EF17B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b/>
                <w:bCs/>
                <w:color w:val="000000"/>
                <w:sz w:val="18"/>
                <w:szCs w:val="18"/>
                <w:highlight w:val="none"/>
                <w:lang w:val="en-US"/>
              </w:rPr>
              <w:t>Q6.</w:t>
            </w:r>
          </w:p>
        </w:tc>
      </w:tr>
      <w:tr w14:paraId="755D3F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676" w:type="dxa"/>
            <w:gridSpan w:val="2"/>
            <w:tcBorders>
              <w:top w:val="single" w:color="000000" w:sz="16" w:space="0"/>
              <w:left w:val="single" w:color="000000" w:sz="16" w:space="0"/>
              <w:bottom w:val="single" w:color="000000" w:sz="16" w:space="0"/>
              <w:right w:val="nil"/>
            </w:tcBorders>
            <w:shd w:val="clear" w:color="auto" w:fill="FFFFFF"/>
          </w:tcPr>
          <w:p w14:paraId="69BC411C">
            <w:pPr>
              <w:autoSpaceDE w:val="0"/>
              <w:autoSpaceDN w:val="0"/>
              <w:adjustRightInd w:val="0"/>
              <w:spacing w:after="0" w:line="240" w:lineRule="auto"/>
              <w:jc w:val="center"/>
              <w:rPr>
                <w:rFonts w:cs="Times New Roman"/>
                <w:szCs w:val="24"/>
                <w:highlight w:val="none"/>
                <w:lang w:val="en-US"/>
              </w:rPr>
            </w:pPr>
          </w:p>
        </w:tc>
        <w:tc>
          <w:tcPr>
            <w:tcW w:w="1147" w:type="dxa"/>
            <w:tcBorders>
              <w:top w:val="single" w:color="000000" w:sz="16" w:space="0"/>
              <w:left w:val="single" w:color="000000" w:sz="16" w:space="0"/>
              <w:bottom w:val="single" w:color="000000" w:sz="16" w:space="0"/>
            </w:tcBorders>
            <w:shd w:val="clear" w:color="auto" w:fill="FFFFFF"/>
          </w:tcPr>
          <w:p w14:paraId="20835EA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Frequency</w:t>
            </w:r>
          </w:p>
        </w:tc>
        <w:tc>
          <w:tcPr>
            <w:tcW w:w="1009" w:type="dxa"/>
            <w:tcBorders>
              <w:top w:val="single" w:color="000000" w:sz="16" w:space="0"/>
              <w:bottom w:val="single" w:color="000000" w:sz="16" w:space="0"/>
            </w:tcBorders>
            <w:shd w:val="clear" w:color="auto" w:fill="FFFFFF"/>
          </w:tcPr>
          <w:p w14:paraId="4653ACE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Percent</w:t>
            </w:r>
          </w:p>
        </w:tc>
        <w:tc>
          <w:tcPr>
            <w:tcW w:w="1376" w:type="dxa"/>
            <w:tcBorders>
              <w:top w:val="single" w:color="000000" w:sz="16" w:space="0"/>
              <w:bottom w:val="single" w:color="000000" w:sz="16" w:space="0"/>
            </w:tcBorders>
            <w:shd w:val="clear" w:color="auto" w:fill="FFFFFF"/>
          </w:tcPr>
          <w:p w14:paraId="0D0200F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Valid Percent</w:t>
            </w:r>
          </w:p>
        </w:tc>
        <w:tc>
          <w:tcPr>
            <w:tcW w:w="1468" w:type="dxa"/>
            <w:tcBorders>
              <w:top w:val="single" w:color="000000" w:sz="16" w:space="0"/>
              <w:bottom w:val="single" w:color="000000" w:sz="16" w:space="0"/>
              <w:right w:val="single" w:color="000000" w:sz="16" w:space="0"/>
            </w:tcBorders>
            <w:shd w:val="clear" w:color="auto" w:fill="FFFFFF"/>
          </w:tcPr>
          <w:p w14:paraId="39798C8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Cumulative Percent</w:t>
            </w:r>
          </w:p>
        </w:tc>
      </w:tr>
      <w:tr w14:paraId="06C8E6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vMerge w:val="restart"/>
            <w:tcBorders>
              <w:top w:val="single" w:color="000000" w:sz="16" w:space="0"/>
              <w:left w:val="single" w:color="000000" w:sz="16" w:space="0"/>
              <w:bottom w:val="nil"/>
              <w:right w:val="nil"/>
            </w:tcBorders>
            <w:shd w:val="clear" w:color="auto" w:fill="FFFFFF"/>
            <w:vAlign w:val="center"/>
          </w:tcPr>
          <w:p w14:paraId="1DCB251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Valid</w:t>
            </w:r>
          </w:p>
        </w:tc>
        <w:tc>
          <w:tcPr>
            <w:tcW w:w="1743" w:type="dxa"/>
            <w:tcBorders>
              <w:top w:val="single" w:color="000000" w:sz="16" w:space="0"/>
              <w:left w:val="nil"/>
              <w:bottom w:val="nil"/>
              <w:right w:val="single" w:color="000000" w:sz="16" w:space="0"/>
            </w:tcBorders>
            <w:shd w:val="clear" w:color="auto" w:fill="FFFFFF"/>
            <w:vAlign w:val="center"/>
          </w:tcPr>
          <w:p w14:paraId="1581F82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Strongly disagree</w:t>
            </w:r>
          </w:p>
        </w:tc>
        <w:tc>
          <w:tcPr>
            <w:tcW w:w="1147" w:type="dxa"/>
            <w:tcBorders>
              <w:top w:val="single" w:color="000000" w:sz="16" w:space="0"/>
              <w:left w:val="single" w:color="000000" w:sz="16" w:space="0"/>
              <w:bottom w:val="nil"/>
            </w:tcBorders>
            <w:shd w:val="clear" w:color="auto" w:fill="FFFFFF"/>
          </w:tcPr>
          <w:p w14:paraId="12ADBC7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70</w:t>
            </w:r>
          </w:p>
        </w:tc>
        <w:tc>
          <w:tcPr>
            <w:tcW w:w="1009" w:type="dxa"/>
            <w:tcBorders>
              <w:top w:val="single" w:color="000000" w:sz="16" w:space="0"/>
              <w:bottom w:val="nil"/>
            </w:tcBorders>
            <w:shd w:val="clear" w:color="auto" w:fill="FFFFFF"/>
          </w:tcPr>
          <w:p w14:paraId="671E71C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24.3</w:t>
            </w:r>
          </w:p>
        </w:tc>
        <w:tc>
          <w:tcPr>
            <w:tcW w:w="1376" w:type="dxa"/>
            <w:tcBorders>
              <w:top w:val="single" w:color="000000" w:sz="16" w:space="0"/>
              <w:bottom w:val="nil"/>
            </w:tcBorders>
            <w:shd w:val="clear" w:color="auto" w:fill="FFFFFF"/>
          </w:tcPr>
          <w:p w14:paraId="368E4A7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24.8</w:t>
            </w:r>
          </w:p>
        </w:tc>
        <w:tc>
          <w:tcPr>
            <w:tcW w:w="1468" w:type="dxa"/>
            <w:tcBorders>
              <w:top w:val="single" w:color="000000" w:sz="16" w:space="0"/>
              <w:bottom w:val="nil"/>
              <w:right w:val="single" w:color="000000" w:sz="16" w:space="0"/>
            </w:tcBorders>
            <w:shd w:val="clear" w:color="auto" w:fill="FFFFFF"/>
          </w:tcPr>
          <w:p w14:paraId="195984B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24.8</w:t>
            </w:r>
          </w:p>
        </w:tc>
      </w:tr>
      <w:tr w14:paraId="675874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vMerge w:val="continue"/>
            <w:tcBorders>
              <w:top w:val="single" w:color="000000" w:sz="16" w:space="0"/>
              <w:left w:val="single" w:color="000000" w:sz="16" w:space="0"/>
              <w:bottom w:val="nil"/>
              <w:right w:val="nil"/>
            </w:tcBorders>
            <w:shd w:val="clear" w:color="auto" w:fill="FFFFFF"/>
            <w:vAlign w:val="center"/>
          </w:tcPr>
          <w:p w14:paraId="00C74BB4">
            <w:pPr>
              <w:autoSpaceDE w:val="0"/>
              <w:autoSpaceDN w:val="0"/>
              <w:adjustRightInd w:val="0"/>
              <w:spacing w:after="0" w:line="240" w:lineRule="auto"/>
              <w:jc w:val="center"/>
              <w:rPr>
                <w:rFonts w:ascii="Arial" w:hAnsi="Arial" w:cs="Arial"/>
                <w:color w:val="000000"/>
                <w:sz w:val="18"/>
                <w:szCs w:val="18"/>
                <w:highlight w:val="none"/>
                <w:lang w:val="en-US"/>
              </w:rPr>
            </w:pPr>
          </w:p>
        </w:tc>
        <w:tc>
          <w:tcPr>
            <w:tcW w:w="1743" w:type="dxa"/>
            <w:tcBorders>
              <w:top w:val="nil"/>
              <w:left w:val="nil"/>
              <w:bottom w:val="nil"/>
              <w:right w:val="single" w:color="000000" w:sz="16" w:space="0"/>
            </w:tcBorders>
            <w:shd w:val="clear" w:color="auto" w:fill="FFFFFF"/>
            <w:vAlign w:val="center"/>
          </w:tcPr>
          <w:p w14:paraId="45D3945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Disagree</w:t>
            </w:r>
          </w:p>
        </w:tc>
        <w:tc>
          <w:tcPr>
            <w:tcW w:w="1147" w:type="dxa"/>
            <w:tcBorders>
              <w:top w:val="nil"/>
              <w:left w:val="single" w:color="000000" w:sz="16" w:space="0"/>
              <w:bottom w:val="nil"/>
            </w:tcBorders>
            <w:shd w:val="clear" w:color="auto" w:fill="FFFFFF"/>
          </w:tcPr>
          <w:p w14:paraId="2298092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57</w:t>
            </w:r>
          </w:p>
        </w:tc>
        <w:tc>
          <w:tcPr>
            <w:tcW w:w="1009" w:type="dxa"/>
            <w:tcBorders>
              <w:top w:val="nil"/>
              <w:bottom w:val="nil"/>
            </w:tcBorders>
            <w:shd w:val="clear" w:color="auto" w:fill="FFFFFF"/>
          </w:tcPr>
          <w:p w14:paraId="5555577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19.8</w:t>
            </w:r>
          </w:p>
        </w:tc>
        <w:tc>
          <w:tcPr>
            <w:tcW w:w="1376" w:type="dxa"/>
            <w:tcBorders>
              <w:top w:val="nil"/>
              <w:bottom w:val="nil"/>
            </w:tcBorders>
            <w:shd w:val="clear" w:color="auto" w:fill="FFFFFF"/>
          </w:tcPr>
          <w:p w14:paraId="0A1FFB5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20.2</w:t>
            </w:r>
          </w:p>
        </w:tc>
        <w:tc>
          <w:tcPr>
            <w:tcW w:w="1468" w:type="dxa"/>
            <w:tcBorders>
              <w:top w:val="nil"/>
              <w:bottom w:val="nil"/>
              <w:right w:val="single" w:color="000000" w:sz="16" w:space="0"/>
            </w:tcBorders>
            <w:shd w:val="clear" w:color="auto" w:fill="FFFFFF"/>
          </w:tcPr>
          <w:p w14:paraId="471860D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45.0</w:t>
            </w:r>
          </w:p>
        </w:tc>
      </w:tr>
      <w:tr w14:paraId="754BB7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vMerge w:val="continue"/>
            <w:tcBorders>
              <w:top w:val="single" w:color="000000" w:sz="16" w:space="0"/>
              <w:left w:val="single" w:color="000000" w:sz="16" w:space="0"/>
              <w:bottom w:val="nil"/>
              <w:right w:val="nil"/>
            </w:tcBorders>
            <w:shd w:val="clear" w:color="auto" w:fill="FFFFFF"/>
            <w:vAlign w:val="center"/>
          </w:tcPr>
          <w:p w14:paraId="4786C047">
            <w:pPr>
              <w:autoSpaceDE w:val="0"/>
              <w:autoSpaceDN w:val="0"/>
              <w:adjustRightInd w:val="0"/>
              <w:spacing w:after="0" w:line="240" w:lineRule="auto"/>
              <w:jc w:val="center"/>
              <w:rPr>
                <w:rFonts w:ascii="Arial" w:hAnsi="Arial" w:cs="Arial"/>
                <w:color w:val="000000"/>
                <w:sz w:val="18"/>
                <w:szCs w:val="18"/>
                <w:highlight w:val="none"/>
                <w:lang w:val="en-US"/>
              </w:rPr>
            </w:pPr>
          </w:p>
        </w:tc>
        <w:tc>
          <w:tcPr>
            <w:tcW w:w="1743" w:type="dxa"/>
            <w:tcBorders>
              <w:top w:val="nil"/>
              <w:left w:val="nil"/>
              <w:bottom w:val="nil"/>
              <w:right w:val="single" w:color="000000" w:sz="16" w:space="0"/>
            </w:tcBorders>
            <w:shd w:val="clear" w:color="auto" w:fill="FFFFFF"/>
            <w:vAlign w:val="center"/>
          </w:tcPr>
          <w:p w14:paraId="03388BB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p>
        </w:tc>
        <w:tc>
          <w:tcPr>
            <w:tcW w:w="1147" w:type="dxa"/>
            <w:tcBorders>
              <w:top w:val="nil"/>
              <w:left w:val="single" w:color="000000" w:sz="16" w:space="0"/>
              <w:bottom w:val="nil"/>
            </w:tcBorders>
            <w:shd w:val="clear" w:color="auto" w:fill="FFFFFF"/>
          </w:tcPr>
          <w:p w14:paraId="6AFCFBB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p>
        </w:tc>
        <w:tc>
          <w:tcPr>
            <w:tcW w:w="1009" w:type="dxa"/>
            <w:tcBorders>
              <w:top w:val="nil"/>
              <w:bottom w:val="nil"/>
            </w:tcBorders>
            <w:shd w:val="clear" w:color="auto" w:fill="FFFFFF"/>
          </w:tcPr>
          <w:p w14:paraId="4B57E7C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p>
        </w:tc>
        <w:tc>
          <w:tcPr>
            <w:tcW w:w="1376" w:type="dxa"/>
            <w:tcBorders>
              <w:top w:val="nil"/>
              <w:bottom w:val="nil"/>
            </w:tcBorders>
            <w:shd w:val="clear" w:color="auto" w:fill="FFFFFF"/>
          </w:tcPr>
          <w:p w14:paraId="6CD351F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p>
        </w:tc>
        <w:tc>
          <w:tcPr>
            <w:tcW w:w="1468" w:type="dxa"/>
            <w:tcBorders>
              <w:top w:val="nil"/>
              <w:bottom w:val="nil"/>
              <w:right w:val="single" w:color="000000" w:sz="16" w:space="0"/>
            </w:tcBorders>
            <w:shd w:val="clear" w:color="auto" w:fill="FFFFFF"/>
          </w:tcPr>
          <w:p w14:paraId="4CB4A31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p>
        </w:tc>
      </w:tr>
      <w:tr w14:paraId="21537D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vMerge w:val="continue"/>
            <w:tcBorders>
              <w:top w:val="single" w:color="000000" w:sz="16" w:space="0"/>
              <w:left w:val="single" w:color="000000" w:sz="16" w:space="0"/>
              <w:bottom w:val="nil"/>
              <w:right w:val="nil"/>
            </w:tcBorders>
            <w:shd w:val="clear" w:color="auto" w:fill="FFFFFF"/>
            <w:vAlign w:val="center"/>
          </w:tcPr>
          <w:p w14:paraId="1824CE64">
            <w:pPr>
              <w:autoSpaceDE w:val="0"/>
              <w:autoSpaceDN w:val="0"/>
              <w:adjustRightInd w:val="0"/>
              <w:spacing w:after="0" w:line="240" w:lineRule="auto"/>
              <w:jc w:val="center"/>
              <w:rPr>
                <w:rFonts w:ascii="Arial" w:hAnsi="Arial" w:cs="Arial"/>
                <w:color w:val="000000"/>
                <w:sz w:val="18"/>
                <w:szCs w:val="18"/>
                <w:highlight w:val="none"/>
                <w:lang w:val="en-US"/>
              </w:rPr>
            </w:pPr>
          </w:p>
        </w:tc>
        <w:tc>
          <w:tcPr>
            <w:tcW w:w="1743" w:type="dxa"/>
            <w:tcBorders>
              <w:top w:val="nil"/>
              <w:left w:val="nil"/>
              <w:bottom w:val="nil"/>
              <w:right w:val="single" w:color="000000" w:sz="16" w:space="0"/>
            </w:tcBorders>
            <w:shd w:val="clear" w:color="auto" w:fill="FFFFFF"/>
            <w:vAlign w:val="center"/>
          </w:tcPr>
          <w:p w14:paraId="6EF20B3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Strongly agree</w:t>
            </w:r>
          </w:p>
        </w:tc>
        <w:tc>
          <w:tcPr>
            <w:tcW w:w="1147" w:type="dxa"/>
            <w:tcBorders>
              <w:top w:val="nil"/>
              <w:left w:val="single" w:color="000000" w:sz="16" w:space="0"/>
              <w:bottom w:val="nil"/>
            </w:tcBorders>
            <w:shd w:val="clear" w:color="auto" w:fill="FFFFFF"/>
          </w:tcPr>
          <w:p w14:paraId="1C1FBE6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154</w:t>
            </w:r>
          </w:p>
        </w:tc>
        <w:tc>
          <w:tcPr>
            <w:tcW w:w="1009" w:type="dxa"/>
            <w:tcBorders>
              <w:top w:val="nil"/>
              <w:bottom w:val="nil"/>
            </w:tcBorders>
            <w:shd w:val="clear" w:color="auto" w:fill="FFFFFF"/>
          </w:tcPr>
          <w:p w14:paraId="0A59DE8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53.5</w:t>
            </w:r>
          </w:p>
        </w:tc>
        <w:tc>
          <w:tcPr>
            <w:tcW w:w="1376" w:type="dxa"/>
            <w:tcBorders>
              <w:top w:val="nil"/>
              <w:bottom w:val="nil"/>
            </w:tcBorders>
            <w:shd w:val="clear" w:color="auto" w:fill="FFFFFF"/>
          </w:tcPr>
          <w:p w14:paraId="646CC94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54.6</w:t>
            </w:r>
          </w:p>
        </w:tc>
        <w:tc>
          <w:tcPr>
            <w:tcW w:w="1468" w:type="dxa"/>
            <w:tcBorders>
              <w:top w:val="nil"/>
              <w:bottom w:val="nil"/>
              <w:right w:val="single" w:color="000000" w:sz="16" w:space="0"/>
            </w:tcBorders>
            <w:shd w:val="clear" w:color="auto" w:fill="FFFFFF"/>
          </w:tcPr>
          <w:p w14:paraId="0068774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p>
        </w:tc>
      </w:tr>
      <w:tr w14:paraId="110725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vMerge w:val="continue"/>
            <w:tcBorders>
              <w:top w:val="single" w:color="000000" w:sz="16" w:space="0"/>
              <w:left w:val="single" w:color="000000" w:sz="16" w:space="0"/>
              <w:bottom w:val="nil"/>
              <w:right w:val="nil"/>
            </w:tcBorders>
            <w:shd w:val="clear" w:color="auto" w:fill="FFFFFF"/>
            <w:vAlign w:val="center"/>
          </w:tcPr>
          <w:p w14:paraId="046E21A5">
            <w:pPr>
              <w:autoSpaceDE w:val="0"/>
              <w:autoSpaceDN w:val="0"/>
              <w:adjustRightInd w:val="0"/>
              <w:spacing w:after="0" w:line="240" w:lineRule="auto"/>
              <w:jc w:val="center"/>
              <w:rPr>
                <w:rFonts w:ascii="Arial" w:hAnsi="Arial" w:cs="Arial"/>
                <w:color w:val="000000"/>
                <w:sz w:val="18"/>
                <w:szCs w:val="18"/>
                <w:highlight w:val="none"/>
                <w:lang w:val="en-US"/>
              </w:rPr>
            </w:pPr>
          </w:p>
        </w:tc>
        <w:tc>
          <w:tcPr>
            <w:tcW w:w="1743" w:type="dxa"/>
            <w:tcBorders>
              <w:top w:val="nil"/>
              <w:left w:val="nil"/>
              <w:bottom w:val="nil"/>
              <w:right w:val="single" w:color="000000" w:sz="16" w:space="0"/>
            </w:tcBorders>
            <w:shd w:val="clear" w:color="auto" w:fill="FFFFFF"/>
            <w:vAlign w:val="center"/>
          </w:tcPr>
          <w:p w14:paraId="7193408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Total</w:t>
            </w:r>
          </w:p>
        </w:tc>
        <w:tc>
          <w:tcPr>
            <w:tcW w:w="1147" w:type="dxa"/>
            <w:tcBorders>
              <w:top w:val="nil"/>
              <w:left w:val="single" w:color="000000" w:sz="16" w:space="0"/>
              <w:bottom w:val="nil"/>
            </w:tcBorders>
            <w:shd w:val="clear" w:color="auto" w:fill="FFFFFF"/>
          </w:tcPr>
          <w:p w14:paraId="6A94C29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1009" w:type="dxa"/>
            <w:tcBorders>
              <w:top w:val="nil"/>
              <w:bottom w:val="nil"/>
            </w:tcBorders>
            <w:shd w:val="clear" w:color="auto" w:fill="FFFFFF"/>
          </w:tcPr>
          <w:p w14:paraId="4626014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97.9</w:t>
            </w:r>
          </w:p>
        </w:tc>
        <w:tc>
          <w:tcPr>
            <w:tcW w:w="1376" w:type="dxa"/>
            <w:tcBorders>
              <w:top w:val="nil"/>
              <w:bottom w:val="nil"/>
            </w:tcBorders>
            <w:shd w:val="clear" w:color="auto" w:fill="FFFFFF"/>
          </w:tcPr>
          <w:p w14:paraId="3C59A74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p>
        </w:tc>
        <w:tc>
          <w:tcPr>
            <w:tcW w:w="1468" w:type="dxa"/>
            <w:tcBorders>
              <w:top w:val="nil"/>
              <w:bottom w:val="nil"/>
              <w:right w:val="single" w:color="000000" w:sz="16" w:space="0"/>
            </w:tcBorders>
            <w:shd w:val="clear" w:color="auto" w:fill="FFFFFF"/>
          </w:tcPr>
          <w:p w14:paraId="70AEEB84">
            <w:pPr>
              <w:autoSpaceDE w:val="0"/>
              <w:autoSpaceDN w:val="0"/>
              <w:adjustRightInd w:val="0"/>
              <w:spacing w:after="0" w:line="240" w:lineRule="auto"/>
              <w:jc w:val="center"/>
              <w:rPr>
                <w:rFonts w:cs="Times New Roman"/>
                <w:szCs w:val="24"/>
                <w:highlight w:val="none"/>
                <w:lang w:val="en-US"/>
              </w:rPr>
            </w:pPr>
          </w:p>
        </w:tc>
      </w:tr>
      <w:tr w14:paraId="50E2DA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tcBorders>
              <w:top w:val="nil"/>
              <w:left w:val="single" w:color="000000" w:sz="16" w:space="0"/>
              <w:bottom w:val="nil"/>
              <w:right w:val="nil"/>
            </w:tcBorders>
            <w:shd w:val="clear" w:color="auto" w:fill="FFFFFF"/>
            <w:vAlign w:val="center"/>
          </w:tcPr>
          <w:p w14:paraId="3D15688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Missing</w:t>
            </w:r>
          </w:p>
        </w:tc>
        <w:tc>
          <w:tcPr>
            <w:tcW w:w="1743" w:type="dxa"/>
            <w:tcBorders>
              <w:top w:val="nil"/>
              <w:left w:val="nil"/>
              <w:bottom w:val="nil"/>
              <w:right w:val="single" w:color="000000" w:sz="16" w:space="0"/>
            </w:tcBorders>
            <w:shd w:val="clear" w:color="auto" w:fill="FFFFFF"/>
            <w:vAlign w:val="center"/>
          </w:tcPr>
          <w:p w14:paraId="7B02DB8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System</w:t>
            </w:r>
          </w:p>
        </w:tc>
        <w:tc>
          <w:tcPr>
            <w:tcW w:w="1147" w:type="dxa"/>
            <w:tcBorders>
              <w:top w:val="nil"/>
              <w:left w:val="single" w:color="000000" w:sz="16" w:space="0"/>
              <w:bottom w:val="nil"/>
            </w:tcBorders>
            <w:shd w:val="clear" w:color="auto" w:fill="FFFFFF"/>
          </w:tcPr>
          <w:p w14:paraId="0C5AE5A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6</w:t>
            </w:r>
          </w:p>
        </w:tc>
        <w:tc>
          <w:tcPr>
            <w:tcW w:w="1009" w:type="dxa"/>
            <w:tcBorders>
              <w:top w:val="nil"/>
              <w:bottom w:val="nil"/>
            </w:tcBorders>
            <w:shd w:val="clear" w:color="auto" w:fill="FFFFFF"/>
          </w:tcPr>
          <w:p w14:paraId="7DE5D1C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2.1</w:t>
            </w:r>
          </w:p>
        </w:tc>
        <w:tc>
          <w:tcPr>
            <w:tcW w:w="1376" w:type="dxa"/>
            <w:tcBorders>
              <w:top w:val="nil"/>
              <w:bottom w:val="nil"/>
            </w:tcBorders>
            <w:shd w:val="clear" w:color="auto" w:fill="FFFFFF"/>
          </w:tcPr>
          <w:p w14:paraId="20C281AA">
            <w:pPr>
              <w:autoSpaceDE w:val="0"/>
              <w:autoSpaceDN w:val="0"/>
              <w:adjustRightInd w:val="0"/>
              <w:spacing w:after="0" w:line="240" w:lineRule="auto"/>
              <w:jc w:val="center"/>
              <w:rPr>
                <w:rFonts w:cs="Times New Roman"/>
                <w:szCs w:val="24"/>
                <w:highlight w:val="none"/>
                <w:lang w:val="en-US"/>
              </w:rPr>
            </w:pPr>
          </w:p>
        </w:tc>
        <w:tc>
          <w:tcPr>
            <w:tcW w:w="1468" w:type="dxa"/>
            <w:tcBorders>
              <w:top w:val="nil"/>
              <w:bottom w:val="nil"/>
              <w:right w:val="single" w:color="000000" w:sz="16" w:space="0"/>
            </w:tcBorders>
            <w:shd w:val="clear" w:color="auto" w:fill="FFFFFF"/>
          </w:tcPr>
          <w:p w14:paraId="50759AF9">
            <w:pPr>
              <w:autoSpaceDE w:val="0"/>
              <w:autoSpaceDN w:val="0"/>
              <w:adjustRightInd w:val="0"/>
              <w:spacing w:after="0" w:line="240" w:lineRule="auto"/>
              <w:jc w:val="center"/>
              <w:rPr>
                <w:rFonts w:cs="Times New Roman"/>
                <w:szCs w:val="24"/>
                <w:highlight w:val="none"/>
                <w:lang w:val="en-US"/>
              </w:rPr>
            </w:pPr>
          </w:p>
        </w:tc>
      </w:tr>
      <w:tr w14:paraId="3285A8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676" w:type="dxa"/>
            <w:gridSpan w:val="2"/>
            <w:tcBorders>
              <w:top w:val="nil"/>
              <w:left w:val="single" w:color="000000" w:sz="16" w:space="0"/>
              <w:bottom w:val="single" w:color="000000" w:sz="16" w:space="0"/>
              <w:right w:val="nil"/>
            </w:tcBorders>
            <w:shd w:val="clear" w:color="auto" w:fill="FFFFFF"/>
            <w:vAlign w:val="center"/>
          </w:tcPr>
          <w:p w14:paraId="4BD2648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Total</w:t>
            </w:r>
          </w:p>
        </w:tc>
        <w:tc>
          <w:tcPr>
            <w:tcW w:w="1147" w:type="dxa"/>
            <w:tcBorders>
              <w:top w:val="nil"/>
              <w:left w:val="single" w:color="000000" w:sz="16" w:space="0"/>
              <w:bottom w:val="single" w:color="000000" w:sz="16" w:space="0"/>
            </w:tcBorders>
            <w:shd w:val="clear" w:color="auto" w:fill="FFFFFF"/>
          </w:tcPr>
          <w:p w14:paraId="7F73C6F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288</w:t>
            </w:r>
          </w:p>
        </w:tc>
        <w:tc>
          <w:tcPr>
            <w:tcW w:w="1009" w:type="dxa"/>
            <w:tcBorders>
              <w:top w:val="nil"/>
              <w:bottom w:val="single" w:color="000000" w:sz="16" w:space="0"/>
            </w:tcBorders>
            <w:shd w:val="clear" w:color="auto" w:fill="FFFFFF"/>
          </w:tcPr>
          <w:p w14:paraId="2D64C02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p>
        </w:tc>
        <w:tc>
          <w:tcPr>
            <w:tcW w:w="1376" w:type="dxa"/>
            <w:tcBorders>
              <w:top w:val="nil"/>
              <w:bottom w:val="single" w:color="000000" w:sz="16" w:space="0"/>
            </w:tcBorders>
            <w:shd w:val="clear" w:color="auto" w:fill="FFFFFF"/>
          </w:tcPr>
          <w:p w14:paraId="76D76640">
            <w:pPr>
              <w:autoSpaceDE w:val="0"/>
              <w:autoSpaceDN w:val="0"/>
              <w:adjustRightInd w:val="0"/>
              <w:spacing w:after="0" w:line="240" w:lineRule="auto"/>
              <w:jc w:val="center"/>
              <w:rPr>
                <w:rFonts w:cs="Times New Roman"/>
                <w:szCs w:val="24"/>
                <w:highlight w:val="none"/>
                <w:lang w:val="en-US"/>
              </w:rPr>
            </w:pPr>
          </w:p>
        </w:tc>
        <w:tc>
          <w:tcPr>
            <w:tcW w:w="1468" w:type="dxa"/>
            <w:tcBorders>
              <w:top w:val="nil"/>
              <w:bottom w:val="single" w:color="000000" w:sz="16" w:space="0"/>
              <w:right w:val="single" w:color="000000" w:sz="16" w:space="0"/>
            </w:tcBorders>
            <w:shd w:val="clear" w:color="auto" w:fill="FFFFFF"/>
          </w:tcPr>
          <w:p w14:paraId="5B8D4722">
            <w:pPr>
              <w:autoSpaceDE w:val="0"/>
              <w:autoSpaceDN w:val="0"/>
              <w:adjustRightInd w:val="0"/>
              <w:spacing w:after="0" w:line="240" w:lineRule="auto"/>
              <w:jc w:val="center"/>
              <w:rPr>
                <w:rFonts w:cs="Times New Roman"/>
                <w:szCs w:val="24"/>
                <w:highlight w:val="none"/>
                <w:lang w:val="en-US"/>
              </w:rPr>
            </w:pPr>
          </w:p>
        </w:tc>
      </w:tr>
    </w:tbl>
    <w:p w14:paraId="5FF950A2">
      <w:pPr>
        <w:autoSpaceDE w:val="0"/>
        <w:autoSpaceDN w:val="0"/>
        <w:adjustRightInd w:val="0"/>
        <w:spacing w:after="0" w:line="400" w:lineRule="atLeast"/>
        <w:jc w:val="center"/>
        <w:rPr>
          <w:rFonts w:cs="Times New Roman"/>
          <w:szCs w:val="24"/>
          <w:highlight w:val="none"/>
          <w:lang w:val="en-US"/>
        </w:rPr>
      </w:pPr>
    </w:p>
    <w:p w14:paraId="7AB38411">
      <w:pPr>
        <w:autoSpaceDE w:val="0"/>
        <w:autoSpaceDN w:val="0"/>
        <w:adjustRightInd w:val="0"/>
        <w:spacing w:after="0" w:line="240" w:lineRule="auto"/>
        <w:jc w:val="center"/>
        <w:rPr>
          <w:rFonts w:cs="Times New Roman"/>
          <w:szCs w:val="24"/>
          <w:highlight w:val="none"/>
          <w:lang w:val="en-US"/>
        </w:rPr>
      </w:pPr>
    </w:p>
    <w:tbl>
      <w:tblPr>
        <w:tblStyle w:val="12"/>
        <w:tblW w:w="767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33"/>
        <w:gridCol w:w="1744"/>
        <w:gridCol w:w="1147"/>
        <w:gridCol w:w="1009"/>
        <w:gridCol w:w="1377"/>
        <w:gridCol w:w="1469"/>
      </w:tblGrid>
      <w:tr w14:paraId="255BD9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679" w:type="dxa"/>
            <w:gridSpan w:val="6"/>
            <w:tcBorders>
              <w:top w:val="nil"/>
              <w:left w:val="nil"/>
              <w:bottom w:val="nil"/>
              <w:right w:val="nil"/>
            </w:tcBorders>
            <w:shd w:val="clear" w:color="auto" w:fill="FFFFFF"/>
          </w:tcPr>
          <w:p w14:paraId="71F6C43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b/>
                <w:bCs/>
                <w:color w:val="000000"/>
                <w:sz w:val="18"/>
                <w:szCs w:val="18"/>
                <w:highlight w:val="none"/>
                <w:lang w:val="en-US"/>
              </w:rPr>
              <w:t>Q7.</w:t>
            </w:r>
          </w:p>
        </w:tc>
      </w:tr>
      <w:tr w14:paraId="238554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677" w:type="dxa"/>
            <w:gridSpan w:val="2"/>
            <w:tcBorders>
              <w:top w:val="single" w:color="000000" w:sz="16" w:space="0"/>
              <w:left w:val="single" w:color="000000" w:sz="16" w:space="0"/>
              <w:bottom w:val="single" w:color="000000" w:sz="16" w:space="0"/>
              <w:right w:val="nil"/>
            </w:tcBorders>
            <w:shd w:val="clear" w:color="auto" w:fill="FFFFFF"/>
          </w:tcPr>
          <w:p w14:paraId="66EBF1FA">
            <w:pPr>
              <w:autoSpaceDE w:val="0"/>
              <w:autoSpaceDN w:val="0"/>
              <w:adjustRightInd w:val="0"/>
              <w:spacing w:after="0" w:line="240" w:lineRule="auto"/>
              <w:jc w:val="center"/>
              <w:rPr>
                <w:rFonts w:cs="Times New Roman"/>
                <w:szCs w:val="24"/>
                <w:highlight w:val="none"/>
                <w:lang w:val="en-US"/>
              </w:rPr>
            </w:pPr>
          </w:p>
        </w:tc>
        <w:tc>
          <w:tcPr>
            <w:tcW w:w="1147" w:type="dxa"/>
            <w:tcBorders>
              <w:top w:val="single" w:color="000000" w:sz="16" w:space="0"/>
              <w:left w:val="single" w:color="000000" w:sz="16" w:space="0"/>
              <w:bottom w:val="single" w:color="000000" w:sz="16" w:space="0"/>
            </w:tcBorders>
            <w:shd w:val="clear" w:color="auto" w:fill="FFFFFF"/>
          </w:tcPr>
          <w:p w14:paraId="791BAAA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Frequency</w:t>
            </w:r>
          </w:p>
        </w:tc>
        <w:tc>
          <w:tcPr>
            <w:tcW w:w="1009" w:type="dxa"/>
            <w:tcBorders>
              <w:top w:val="single" w:color="000000" w:sz="16" w:space="0"/>
              <w:bottom w:val="single" w:color="000000" w:sz="16" w:space="0"/>
            </w:tcBorders>
            <w:shd w:val="clear" w:color="auto" w:fill="FFFFFF"/>
          </w:tcPr>
          <w:p w14:paraId="094C39C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Percent</w:t>
            </w:r>
          </w:p>
        </w:tc>
        <w:tc>
          <w:tcPr>
            <w:tcW w:w="1377" w:type="dxa"/>
            <w:tcBorders>
              <w:top w:val="single" w:color="000000" w:sz="16" w:space="0"/>
              <w:bottom w:val="single" w:color="000000" w:sz="16" w:space="0"/>
            </w:tcBorders>
            <w:shd w:val="clear" w:color="auto" w:fill="FFFFFF"/>
          </w:tcPr>
          <w:p w14:paraId="668CA40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Valid Percent</w:t>
            </w:r>
          </w:p>
        </w:tc>
        <w:tc>
          <w:tcPr>
            <w:tcW w:w="1469" w:type="dxa"/>
            <w:tcBorders>
              <w:top w:val="single" w:color="000000" w:sz="16" w:space="0"/>
              <w:bottom w:val="single" w:color="000000" w:sz="16" w:space="0"/>
              <w:right w:val="single" w:color="000000" w:sz="16" w:space="0"/>
            </w:tcBorders>
            <w:shd w:val="clear" w:color="auto" w:fill="FFFFFF"/>
          </w:tcPr>
          <w:p w14:paraId="260F732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Cumulative Percent</w:t>
            </w:r>
          </w:p>
        </w:tc>
      </w:tr>
      <w:tr w14:paraId="3B1172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vMerge w:val="restart"/>
            <w:tcBorders>
              <w:top w:val="single" w:color="000000" w:sz="16" w:space="0"/>
              <w:left w:val="single" w:color="000000" w:sz="16" w:space="0"/>
              <w:bottom w:val="nil"/>
              <w:right w:val="nil"/>
            </w:tcBorders>
            <w:shd w:val="clear" w:color="auto" w:fill="FFFFFF"/>
            <w:vAlign w:val="center"/>
          </w:tcPr>
          <w:p w14:paraId="12C3867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Valid</w:t>
            </w:r>
          </w:p>
        </w:tc>
        <w:tc>
          <w:tcPr>
            <w:tcW w:w="1744" w:type="dxa"/>
            <w:tcBorders>
              <w:top w:val="single" w:color="000000" w:sz="16" w:space="0"/>
              <w:left w:val="nil"/>
              <w:bottom w:val="nil"/>
              <w:right w:val="single" w:color="000000" w:sz="16" w:space="0"/>
            </w:tcBorders>
            <w:shd w:val="clear" w:color="auto" w:fill="FFFFFF"/>
            <w:vAlign w:val="center"/>
          </w:tcPr>
          <w:p w14:paraId="43554D3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Strongly disagree</w:t>
            </w:r>
          </w:p>
        </w:tc>
        <w:tc>
          <w:tcPr>
            <w:tcW w:w="1147" w:type="dxa"/>
            <w:tcBorders>
              <w:top w:val="single" w:color="000000" w:sz="16" w:space="0"/>
              <w:left w:val="single" w:color="000000" w:sz="16" w:space="0"/>
              <w:bottom w:val="nil"/>
            </w:tcBorders>
            <w:shd w:val="clear" w:color="auto" w:fill="FFFFFF"/>
          </w:tcPr>
          <w:p w14:paraId="461335A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57</w:t>
            </w:r>
          </w:p>
        </w:tc>
        <w:tc>
          <w:tcPr>
            <w:tcW w:w="1009" w:type="dxa"/>
            <w:tcBorders>
              <w:top w:val="single" w:color="000000" w:sz="16" w:space="0"/>
              <w:bottom w:val="nil"/>
            </w:tcBorders>
            <w:shd w:val="clear" w:color="auto" w:fill="FFFFFF"/>
          </w:tcPr>
          <w:p w14:paraId="6362822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19.8</w:t>
            </w:r>
          </w:p>
        </w:tc>
        <w:tc>
          <w:tcPr>
            <w:tcW w:w="1377" w:type="dxa"/>
            <w:tcBorders>
              <w:top w:val="single" w:color="000000" w:sz="16" w:space="0"/>
              <w:bottom w:val="nil"/>
            </w:tcBorders>
            <w:shd w:val="clear" w:color="auto" w:fill="FFFFFF"/>
          </w:tcPr>
          <w:p w14:paraId="382838C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20.2</w:t>
            </w:r>
          </w:p>
        </w:tc>
        <w:tc>
          <w:tcPr>
            <w:tcW w:w="1469" w:type="dxa"/>
            <w:tcBorders>
              <w:top w:val="single" w:color="000000" w:sz="16" w:space="0"/>
              <w:bottom w:val="nil"/>
              <w:right w:val="single" w:color="000000" w:sz="16" w:space="0"/>
            </w:tcBorders>
            <w:shd w:val="clear" w:color="auto" w:fill="FFFFFF"/>
          </w:tcPr>
          <w:p w14:paraId="6C758DD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20.2</w:t>
            </w:r>
          </w:p>
        </w:tc>
      </w:tr>
      <w:tr w14:paraId="78FC65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vMerge w:val="continue"/>
            <w:tcBorders>
              <w:top w:val="single" w:color="000000" w:sz="16" w:space="0"/>
              <w:left w:val="single" w:color="000000" w:sz="16" w:space="0"/>
              <w:bottom w:val="nil"/>
              <w:right w:val="nil"/>
            </w:tcBorders>
            <w:shd w:val="clear" w:color="auto" w:fill="FFFFFF"/>
            <w:vAlign w:val="center"/>
          </w:tcPr>
          <w:p w14:paraId="5E6BE996">
            <w:pPr>
              <w:autoSpaceDE w:val="0"/>
              <w:autoSpaceDN w:val="0"/>
              <w:adjustRightInd w:val="0"/>
              <w:spacing w:after="0" w:line="240" w:lineRule="auto"/>
              <w:jc w:val="center"/>
              <w:rPr>
                <w:rFonts w:ascii="Arial" w:hAnsi="Arial" w:cs="Arial"/>
                <w:color w:val="000000"/>
                <w:sz w:val="18"/>
                <w:szCs w:val="18"/>
                <w:highlight w:val="none"/>
                <w:lang w:val="en-US"/>
              </w:rPr>
            </w:pPr>
          </w:p>
        </w:tc>
        <w:tc>
          <w:tcPr>
            <w:tcW w:w="1744" w:type="dxa"/>
            <w:tcBorders>
              <w:top w:val="nil"/>
              <w:left w:val="nil"/>
              <w:bottom w:val="nil"/>
              <w:right w:val="single" w:color="000000" w:sz="16" w:space="0"/>
            </w:tcBorders>
            <w:shd w:val="clear" w:color="auto" w:fill="FFFFFF"/>
            <w:vAlign w:val="center"/>
          </w:tcPr>
          <w:p w14:paraId="6B7F71F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Disagree</w:t>
            </w:r>
          </w:p>
        </w:tc>
        <w:tc>
          <w:tcPr>
            <w:tcW w:w="1147" w:type="dxa"/>
            <w:tcBorders>
              <w:top w:val="nil"/>
              <w:left w:val="single" w:color="000000" w:sz="16" w:space="0"/>
              <w:bottom w:val="nil"/>
            </w:tcBorders>
            <w:shd w:val="clear" w:color="auto" w:fill="FFFFFF"/>
          </w:tcPr>
          <w:p w14:paraId="5DED0C5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70</w:t>
            </w:r>
          </w:p>
        </w:tc>
        <w:tc>
          <w:tcPr>
            <w:tcW w:w="1009" w:type="dxa"/>
            <w:tcBorders>
              <w:top w:val="nil"/>
              <w:bottom w:val="nil"/>
            </w:tcBorders>
            <w:shd w:val="clear" w:color="auto" w:fill="FFFFFF"/>
          </w:tcPr>
          <w:p w14:paraId="63173B9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24.3</w:t>
            </w:r>
          </w:p>
        </w:tc>
        <w:tc>
          <w:tcPr>
            <w:tcW w:w="1377" w:type="dxa"/>
            <w:tcBorders>
              <w:top w:val="nil"/>
              <w:bottom w:val="nil"/>
            </w:tcBorders>
            <w:shd w:val="clear" w:color="auto" w:fill="FFFFFF"/>
          </w:tcPr>
          <w:p w14:paraId="2A28CED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24.8</w:t>
            </w:r>
          </w:p>
        </w:tc>
        <w:tc>
          <w:tcPr>
            <w:tcW w:w="1469" w:type="dxa"/>
            <w:tcBorders>
              <w:top w:val="nil"/>
              <w:bottom w:val="nil"/>
              <w:right w:val="single" w:color="000000" w:sz="16" w:space="0"/>
            </w:tcBorders>
            <w:shd w:val="clear" w:color="auto" w:fill="FFFFFF"/>
          </w:tcPr>
          <w:p w14:paraId="6EED531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45.0</w:t>
            </w:r>
          </w:p>
        </w:tc>
      </w:tr>
      <w:tr w14:paraId="4ABD30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55" w:hRule="atLeast"/>
        </w:trPr>
        <w:tc>
          <w:tcPr>
            <w:tcW w:w="933" w:type="dxa"/>
            <w:vMerge w:val="continue"/>
            <w:tcBorders>
              <w:top w:val="single" w:color="000000" w:sz="16" w:space="0"/>
              <w:left w:val="single" w:color="000000" w:sz="16" w:space="0"/>
              <w:bottom w:val="nil"/>
              <w:right w:val="nil"/>
            </w:tcBorders>
            <w:shd w:val="clear" w:color="auto" w:fill="FFFFFF"/>
            <w:vAlign w:val="center"/>
          </w:tcPr>
          <w:p w14:paraId="448B9333">
            <w:pPr>
              <w:autoSpaceDE w:val="0"/>
              <w:autoSpaceDN w:val="0"/>
              <w:adjustRightInd w:val="0"/>
              <w:spacing w:after="0" w:line="240" w:lineRule="auto"/>
              <w:jc w:val="center"/>
              <w:rPr>
                <w:rFonts w:ascii="Arial" w:hAnsi="Arial" w:cs="Arial"/>
                <w:color w:val="000000"/>
                <w:sz w:val="18"/>
                <w:szCs w:val="18"/>
                <w:highlight w:val="none"/>
                <w:lang w:val="en-US"/>
              </w:rPr>
            </w:pPr>
          </w:p>
        </w:tc>
        <w:tc>
          <w:tcPr>
            <w:tcW w:w="1744" w:type="dxa"/>
            <w:tcBorders>
              <w:top w:val="nil"/>
              <w:left w:val="nil"/>
              <w:bottom w:val="nil"/>
              <w:right w:val="single" w:color="000000" w:sz="16" w:space="0"/>
            </w:tcBorders>
            <w:shd w:val="clear" w:color="auto" w:fill="FFFFFF"/>
            <w:vAlign w:val="center"/>
          </w:tcPr>
          <w:p w14:paraId="7623463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p>
        </w:tc>
        <w:tc>
          <w:tcPr>
            <w:tcW w:w="1147" w:type="dxa"/>
            <w:tcBorders>
              <w:top w:val="nil"/>
              <w:left w:val="single" w:color="000000" w:sz="16" w:space="0"/>
              <w:bottom w:val="nil"/>
            </w:tcBorders>
            <w:shd w:val="clear" w:color="auto" w:fill="FFFFFF"/>
          </w:tcPr>
          <w:p w14:paraId="445C04F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p>
        </w:tc>
        <w:tc>
          <w:tcPr>
            <w:tcW w:w="1009" w:type="dxa"/>
            <w:tcBorders>
              <w:top w:val="nil"/>
              <w:bottom w:val="nil"/>
            </w:tcBorders>
            <w:shd w:val="clear" w:color="auto" w:fill="FFFFFF"/>
          </w:tcPr>
          <w:p w14:paraId="249AED4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p>
        </w:tc>
        <w:tc>
          <w:tcPr>
            <w:tcW w:w="1377" w:type="dxa"/>
            <w:tcBorders>
              <w:top w:val="nil"/>
              <w:bottom w:val="nil"/>
            </w:tcBorders>
            <w:shd w:val="clear" w:color="auto" w:fill="FFFFFF"/>
          </w:tcPr>
          <w:p w14:paraId="519AF49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p>
        </w:tc>
        <w:tc>
          <w:tcPr>
            <w:tcW w:w="1469" w:type="dxa"/>
            <w:tcBorders>
              <w:top w:val="nil"/>
              <w:bottom w:val="nil"/>
              <w:right w:val="single" w:color="000000" w:sz="16" w:space="0"/>
            </w:tcBorders>
            <w:shd w:val="clear" w:color="auto" w:fill="FFFFFF"/>
          </w:tcPr>
          <w:p w14:paraId="74C0C2A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p>
        </w:tc>
      </w:tr>
      <w:tr w14:paraId="79DA15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vMerge w:val="continue"/>
            <w:tcBorders>
              <w:top w:val="single" w:color="000000" w:sz="16" w:space="0"/>
              <w:left w:val="single" w:color="000000" w:sz="16" w:space="0"/>
              <w:bottom w:val="nil"/>
              <w:right w:val="nil"/>
            </w:tcBorders>
            <w:shd w:val="clear" w:color="auto" w:fill="FFFFFF"/>
            <w:vAlign w:val="center"/>
          </w:tcPr>
          <w:p w14:paraId="5A0CEC41">
            <w:pPr>
              <w:autoSpaceDE w:val="0"/>
              <w:autoSpaceDN w:val="0"/>
              <w:adjustRightInd w:val="0"/>
              <w:spacing w:after="0" w:line="240" w:lineRule="auto"/>
              <w:jc w:val="center"/>
              <w:rPr>
                <w:rFonts w:ascii="Arial" w:hAnsi="Arial" w:cs="Arial"/>
                <w:color w:val="000000"/>
                <w:sz w:val="18"/>
                <w:szCs w:val="18"/>
                <w:highlight w:val="none"/>
                <w:lang w:val="en-US"/>
              </w:rPr>
            </w:pPr>
          </w:p>
        </w:tc>
        <w:tc>
          <w:tcPr>
            <w:tcW w:w="1744" w:type="dxa"/>
            <w:tcBorders>
              <w:top w:val="nil"/>
              <w:left w:val="nil"/>
              <w:bottom w:val="nil"/>
              <w:right w:val="single" w:color="000000" w:sz="16" w:space="0"/>
            </w:tcBorders>
            <w:shd w:val="clear" w:color="auto" w:fill="FFFFFF"/>
            <w:vAlign w:val="center"/>
          </w:tcPr>
          <w:p w14:paraId="5E986BC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Agree</w:t>
            </w:r>
          </w:p>
        </w:tc>
        <w:tc>
          <w:tcPr>
            <w:tcW w:w="1147" w:type="dxa"/>
            <w:tcBorders>
              <w:top w:val="nil"/>
              <w:left w:val="single" w:color="000000" w:sz="16" w:space="0"/>
              <w:bottom w:val="nil"/>
            </w:tcBorders>
            <w:shd w:val="clear" w:color="auto" w:fill="FFFFFF"/>
          </w:tcPr>
          <w:p w14:paraId="5B7E571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154</w:t>
            </w:r>
          </w:p>
        </w:tc>
        <w:tc>
          <w:tcPr>
            <w:tcW w:w="1009" w:type="dxa"/>
            <w:tcBorders>
              <w:top w:val="nil"/>
              <w:bottom w:val="nil"/>
            </w:tcBorders>
            <w:shd w:val="clear" w:color="auto" w:fill="FFFFFF"/>
          </w:tcPr>
          <w:p w14:paraId="2C90111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53.5</w:t>
            </w:r>
          </w:p>
        </w:tc>
        <w:tc>
          <w:tcPr>
            <w:tcW w:w="1377" w:type="dxa"/>
            <w:tcBorders>
              <w:top w:val="nil"/>
              <w:bottom w:val="nil"/>
            </w:tcBorders>
            <w:shd w:val="clear" w:color="auto" w:fill="FFFFFF"/>
          </w:tcPr>
          <w:p w14:paraId="164BFBB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54.6</w:t>
            </w:r>
          </w:p>
        </w:tc>
        <w:tc>
          <w:tcPr>
            <w:tcW w:w="1469" w:type="dxa"/>
            <w:tcBorders>
              <w:top w:val="nil"/>
              <w:bottom w:val="nil"/>
              <w:right w:val="single" w:color="000000" w:sz="16" w:space="0"/>
            </w:tcBorders>
            <w:shd w:val="clear" w:color="auto" w:fill="FFFFFF"/>
          </w:tcPr>
          <w:p w14:paraId="3585FDD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p>
        </w:tc>
      </w:tr>
      <w:tr w14:paraId="5BEFDC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vMerge w:val="continue"/>
            <w:tcBorders>
              <w:top w:val="single" w:color="000000" w:sz="16" w:space="0"/>
              <w:left w:val="single" w:color="000000" w:sz="16" w:space="0"/>
              <w:bottom w:val="nil"/>
              <w:right w:val="nil"/>
            </w:tcBorders>
            <w:shd w:val="clear" w:color="auto" w:fill="FFFFFF"/>
            <w:vAlign w:val="center"/>
          </w:tcPr>
          <w:p w14:paraId="5638C0DA">
            <w:pPr>
              <w:autoSpaceDE w:val="0"/>
              <w:autoSpaceDN w:val="0"/>
              <w:adjustRightInd w:val="0"/>
              <w:spacing w:after="0" w:line="240" w:lineRule="auto"/>
              <w:jc w:val="center"/>
              <w:rPr>
                <w:rFonts w:ascii="Arial" w:hAnsi="Arial" w:cs="Arial"/>
                <w:color w:val="000000"/>
                <w:sz w:val="18"/>
                <w:szCs w:val="18"/>
                <w:highlight w:val="none"/>
                <w:lang w:val="en-US"/>
              </w:rPr>
            </w:pPr>
          </w:p>
        </w:tc>
        <w:tc>
          <w:tcPr>
            <w:tcW w:w="1744" w:type="dxa"/>
            <w:tcBorders>
              <w:top w:val="nil"/>
              <w:left w:val="nil"/>
              <w:bottom w:val="nil"/>
              <w:right w:val="single" w:color="000000" w:sz="16" w:space="0"/>
            </w:tcBorders>
            <w:shd w:val="clear" w:color="auto" w:fill="FFFFFF"/>
            <w:vAlign w:val="center"/>
          </w:tcPr>
          <w:p w14:paraId="6B8C0FD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Total</w:t>
            </w:r>
          </w:p>
        </w:tc>
        <w:tc>
          <w:tcPr>
            <w:tcW w:w="1147" w:type="dxa"/>
            <w:tcBorders>
              <w:top w:val="nil"/>
              <w:left w:val="single" w:color="000000" w:sz="16" w:space="0"/>
              <w:bottom w:val="nil"/>
            </w:tcBorders>
            <w:shd w:val="clear" w:color="auto" w:fill="FFFFFF"/>
          </w:tcPr>
          <w:p w14:paraId="7855271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1009" w:type="dxa"/>
            <w:tcBorders>
              <w:top w:val="nil"/>
              <w:bottom w:val="nil"/>
            </w:tcBorders>
            <w:shd w:val="clear" w:color="auto" w:fill="FFFFFF"/>
          </w:tcPr>
          <w:p w14:paraId="12F5879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97.9</w:t>
            </w:r>
          </w:p>
        </w:tc>
        <w:tc>
          <w:tcPr>
            <w:tcW w:w="1377" w:type="dxa"/>
            <w:tcBorders>
              <w:top w:val="nil"/>
              <w:bottom w:val="nil"/>
            </w:tcBorders>
            <w:shd w:val="clear" w:color="auto" w:fill="FFFFFF"/>
          </w:tcPr>
          <w:p w14:paraId="697CB22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p>
        </w:tc>
        <w:tc>
          <w:tcPr>
            <w:tcW w:w="1469" w:type="dxa"/>
            <w:tcBorders>
              <w:top w:val="nil"/>
              <w:bottom w:val="nil"/>
              <w:right w:val="single" w:color="000000" w:sz="16" w:space="0"/>
            </w:tcBorders>
            <w:shd w:val="clear" w:color="auto" w:fill="FFFFFF"/>
          </w:tcPr>
          <w:p w14:paraId="6AE0C53F">
            <w:pPr>
              <w:autoSpaceDE w:val="0"/>
              <w:autoSpaceDN w:val="0"/>
              <w:adjustRightInd w:val="0"/>
              <w:spacing w:after="0" w:line="240" w:lineRule="auto"/>
              <w:jc w:val="center"/>
              <w:rPr>
                <w:rFonts w:cs="Times New Roman"/>
                <w:szCs w:val="24"/>
                <w:highlight w:val="none"/>
                <w:lang w:val="en-US"/>
              </w:rPr>
            </w:pPr>
          </w:p>
        </w:tc>
      </w:tr>
      <w:tr w14:paraId="6277C7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tcBorders>
              <w:top w:val="nil"/>
              <w:left w:val="single" w:color="000000" w:sz="16" w:space="0"/>
              <w:bottom w:val="nil"/>
              <w:right w:val="nil"/>
            </w:tcBorders>
            <w:shd w:val="clear" w:color="auto" w:fill="FFFFFF"/>
            <w:vAlign w:val="center"/>
          </w:tcPr>
          <w:p w14:paraId="53F5290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Missing</w:t>
            </w:r>
          </w:p>
        </w:tc>
        <w:tc>
          <w:tcPr>
            <w:tcW w:w="1744" w:type="dxa"/>
            <w:tcBorders>
              <w:top w:val="nil"/>
              <w:left w:val="nil"/>
              <w:bottom w:val="nil"/>
              <w:right w:val="single" w:color="000000" w:sz="16" w:space="0"/>
            </w:tcBorders>
            <w:shd w:val="clear" w:color="auto" w:fill="FFFFFF"/>
            <w:vAlign w:val="center"/>
          </w:tcPr>
          <w:p w14:paraId="03F8E39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System</w:t>
            </w:r>
          </w:p>
        </w:tc>
        <w:tc>
          <w:tcPr>
            <w:tcW w:w="1147" w:type="dxa"/>
            <w:tcBorders>
              <w:top w:val="nil"/>
              <w:left w:val="single" w:color="000000" w:sz="16" w:space="0"/>
              <w:bottom w:val="nil"/>
            </w:tcBorders>
            <w:shd w:val="clear" w:color="auto" w:fill="FFFFFF"/>
          </w:tcPr>
          <w:p w14:paraId="3DED941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6</w:t>
            </w:r>
          </w:p>
        </w:tc>
        <w:tc>
          <w:tcPr>
            <w:tcW w:w="1009" w:type="dxa"/>
            <w:tcBorders>
              <w:top w:val="nil"/>
              <w:bottom w:val="nil"/>
            </w:tcBorders>
            <w:shd w:val="clear" w:color="auto" w:fill="FFFFFF"/>
          </w:tcPr>
          <w:p w14:paraId="0FC8F71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2.1</w:t>
            </w:r>
          </w:p>
        </w:tc>
        <w:tc>
          <w:tcPr>
            <w:tcW w:w="1377" w:type="dxa"/>
            <w:tcBorders>
              <w:top w:val="nil"/>
              <w:bottom w:val="nil"/>
            </w:tcBorders>
            <w:shd w:val="clear" w:color="auto" w:fill="FFFFFF"/>
          </w:tcPr>
          <w:p w14:paraId="4945DC4B">
            <w:pPr>
              <w:autoSpaceDE w:val="0"/>
              <w:autoSpaceDN w:val="0"/>
              <w:adjustRightInd w:val="0"/>
              <w:spacing w:after="0" w:line="240" w:lineRule="auto"/>
              <w:jc w:val="center"/>
              <w:rPr>
                <w:rFonts w:cs="Times New Roman"/>
                <w:szCs w:val="24"/>
                <w:highlight w:val="none"/>
                <w:lang w:val="en-US"/>
              </w:rPr>
            </w:pPr>
          </w:p>
        </w:tc>
        <w:tc>
          <w:tcPr>
            <w:tcW w:w="1469" w:type="dxa"/>
            <w:tcBorders>
              <w:top w:val="nil"/>
              <w:bottom w:val="nil"/>
              <w:right w:val="single" w:color="000000" w:sz="16" w:space="0"/>
            </w:tcBorders>
            <w:shd w:val="clear" w:color="auto" w:fill="FFFFFF"/>
          </w:tcPr>
          <w:p w14:paraId="5230F54E">
            <w:pPr>
              <w:autoSpaceDE w:val="0"/>
              <w:autoSpaceDN w:val="0"/>
              <w:adjustRightInd w:val="0"/>
              <w:spacing w:after="0" w:line="240" w:lineRule="auto"/>
              <w:jc w:val="center"/>
              <w:rPr>
                <w:rFonts w:cs="Times New Roman"/>
                <w:szCs w:val="24"/>
                <w:highlight w:val="none"/>
                <w:lang w:val="en-US"/>
              </w:rPr>
            </w:pPr>
          </w:p>
        </w:tc>
      </w:tr>
      <w:tr w14:paraId="27F626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677" w:type="dxa"/>
            <w:gridSpan w:val="2"/>
            <w:tcBorders>
              <w:top w:val="nil"/>
              <w:left w:val="single" w:color="000000" w:sz="16" w:space="0"/>
              <w:bottom w:val="single" w:color="000000" w:sz="16" w:space="0"/>
              <w:right w:val="nil"/>
            </w:tcBorders>
            <w:shd w:val="clear" w:color="auto" w:fill="FFFFFF"/>
            <w:vAlign w:val="center"/>
          </w:tcPr>
          <w:p w14:paraId="1898B7B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Total</w:t>
            </w:r>
          </w:p>
        </w:tc>
        <w:tc>
          <w:tcPr>
            <w:tcW w:w="1147" w:type="dxa"/>
            <w:tcBorders>
              <w:top w:val="nil"/>
              <w:left w:val="single" w:color="000000" w:sz="16" w:space="0"/>
              <w:bottom w:val="single" w:color="000000" w:sz="16" w:space="0"/>
            </w:tcBorders>
            <w:shd w:val="clear" w:color="auto" w:fill="FFFFFF"/>
          </w:tcPr>
          <w:p w14:paraId="774E1D0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288</w:t>
            </w:r>
          </w:p>
        </w:tc>
        <w:tc>
          <w:tcPr>
            <w:tcW w:w="1009" w:type="dxa"/>
            <w:tcBorders>
              <w:top w:val="nil"/>
              <w:bottom w:val="single" w:color="000000" w:sz="16" w:space="0"/>
            </w:tcBorders>
            <w:shd w:val="clear" w:color="auto" w:fill="FFFFFF"/>
          </w:tcPr>
          <w:p w14:paraId="612EFD5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p>
        </w:tc>
        <w:tc>
          <w:tcPr>
            <w:tcW w:w="1377" w:type="dxa"/>
            <w:tcBorders>
              <w:top w:val="nil"/>
              <w:bottom w:val="single" w:color="000000" w:sz="16" w:space="0"/>
            </w:tcBorders>
            <w:shd w:val="clear" w:color="auto" w:fill="FFFFFF"/>
          </w:tcPr>
          <w:p w14:paraId="46D797B0">
            <w:pPr>
              <w:autoSpaceDE w:val="0"/>
              <w:autoSpaceDN w:val="0"/>
              <w:adjustRightInd w:val="0"/>
              <w:spacing w:after="0" w:line="240" w:lineRule="auto"/>
              <w:jc w:val="center"/>
              <w:rPr>
                <w:rFonts w:cs="Times New Roman"/>
                <w:szCs w:val="24"/>
                <w:highlight w:val="none"/>
                <w:lang w:val="en-US"/>
              </w:rPr>
            </w:pPr>
          </w:p>
        </w:tc>
        <w:tc>
          <w:tcPr>
            <w:tcW w:w="1469" w:type="dxa"/>
            <w:tcBorders>
              <w:top w:val="nil"/>
              <w:bottom w:val="single" w:color="000000" w:sz="16" w:space="0"/>
              <w:right w:val="single" w:color="000000" w:sz="16" w:space="0"/>
            </w:tcBorders>
            <w:shd w:val="clear" w:color="auto" w:fill="FFFFFF"/>
          </w:tcPr>
          <w:p w14:paraId="0BF1AF6B">
            <w:pPr>
              <w:autoSpaceDE w:val="0"/>
              <w:autoSpaceDN w:val="0"/>
              <w:adjustRightInd w:val="0"/>
              <w:spacing w:after="0" w:line="240" w:lineRule="auto"/>
              <w:jc w:val="center"/>
              <w:rPr>
                <w:rFonts w:cs="Times New Roman"/>
                <w:szCs w:val="24"/>
                <w:highlight w:val="none"/>
                <w:lang w:val="en-US"/>
              </w:rPr>
            </w:pPr>
          </w:p>
        </w:tc>
      </w:tr>
    </w:tbl>
    <w:p w14:paraId="255F5347">
      <w:pPr>
        <w:adjustRightInd w:val="0"/>
        <w:jc w:val="center"/>
        <w:rPr>
          <w:rFonts w:cs="Times New Roman"/>
          <w:szCs w:val="24"/>
          <w:highlight w:val="none"/>
          <w:lang w:val="en-US"/>
        </w:rPr>
      </w:pPr>
    </w:p>
    <w:p w14:paraId="4BF21623">
      <w:pPr>
        <w:autoSpaceDE w:val="0"/>
        <w:autoSpaceDN w:val="0"/>
        <w:adjustRightInd w:val="0"/>
        <w:spacing w:after="0" w:line="240" w:lineRule="auto"/>
        <w:jc w:val="center"/>
        <w:rPr>
          <w:rFonts w:cs="Times New Roman"/>
          <w:szCs w:val="24"/>
          <w:highlight w:val="none"/>
          <w:lang w:val="en-US"/>
        </w:rPr>
      </w:pPr>
    </w:p>
    <w:tbl>
      <w:tblPr>
        <w:tblStyle w:val="12"/>
        <w:tblW w:w="767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33"/>
        <w:gridCol w:w="1744"/>
        <w:gridCol w:w="1147"/>
        <w:gridCol w:w="1009"/>
        <w:gridCol w:w="1377"/>
        <w:gridCol w:w="1469"/>
      </w:tblGrid>
      <w:tr w14:paraId="3EE902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trPr>
        <w:tc>
          <w:tcPr>
            <w:tcW w:w="7676" w:type="dxa"/>
            <w:gridSpan w:val="6"/>
            <w:tcBorders>
              <w:top w:val="nil"/>
              <w:left w:val="nil"/>
              <w:bottom w:val="nil"/>
              <w:right w:val="nil"/>
            </w:tcBorders>
            <w:shd w:val="clear" w:color="auto" w:fill="FFFFFF"/>
          </w:tcPr>
          <w:p w14:paraId="68F5660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b/>
                <w:bCs/>
                <w:color w:val="000000"/>
                <w:sz w:val="18"/>
                <w:szCs w:val="18"/>
                <w:highlight w:val="none"/>
                <w:lang w:val="en-US"/>
              </w:rPr>
              <w:t>Q8.</w:t>
            </w:r>
          </w:p>
        </w:tc>
      </w:tr>
      <w:tr w14:paraId="0ABBFB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676" w:type="dxa"/>
            <w:gridSpan w:val="2"/>
            <w:tcBorders>
              <w:top w:val="single" w:color="000000" w:sz="16" w:space="0"/>
              <w:left w:val="single" w:color="000000" w:sz="16" w:space="0"/>
              <w:bottom w:val="single" w:color="000000" w:sz="16" w:space="0"/>
              <w:right w:val="nil"/>
            </w:tcBorders>
            <w:shd w:val="clear" w:color="auto" w:fill="FFFFFF"/>
          </w:tcPr>
          <w:p w14:paraId="7FEEC30B">
            <w:pPr>
              <w:autoSpaceDE w:val="0"/>
              <w:autoSpaceDN w:val="0"/>
              <w:adjustRightInd w:val="0"/>
              <w:spacing w:after="0" w:line="240" w:lineRule="auto"/>
              <w:jc w:val="center"/>
              <w:rPr>
                <w:rFonts w:cs="Times New Roman"/>
                <w:szCs w:val="24"/>
                <w:highlight w:val="none"/>
                <w:lang w:val="en-US"/>
              </w:rPr>
            </w:pPr>
          </w:p>
        </w:tc>
        <w:tc>
          <w:tcPr>
            <w:tcW w:w="1147" w:type="dxa"/>
            <w:tcBorders>
              <w:top w:val="single" w:color="000000" w:sz="16" w:space="0"/>
              <w:left w:val="single" w:color="000000" w:sz="16" w:space="0"/>
              <w:bottom w:val="single" w:color="000000" w:sz="16" w:space="0"/>
            </w:tcBorders>
            <w:shd w:val="clear" w:color="auto" w:fill="FFFFFF"/>
          </w:tcPr>
          <w:p w14:paraId="408B995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Frequency</w:t>
            </w:r>
          </w:p>
        </w:tc>
        <w:tc>
          <w:tcPr>
            <w:tcW w:w="1009" w:type="dxa"/>
            <w:tcBorders>
              <w:top w:val="single" w:color="000000" w:sz="16" w:space="0"/>
              <w:bottom w:val="single" w:color="000000" w:sz="16" w:space="0"/>
            </w:tcBorders>
            <w:shd w:val="clear" w:color="auto" w:fill="FFFFFF"/>
          </w:tcPr>
          <w:p w14:paraId="5877E41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Percent</w:t>
            </w:r>
          </w:p>
        </w:tc>
        <w:tc>
          <w:tcPr>
            <w:tcW w:w="1376" w:type="dxa"/>
            <w:tcBorders>
              <w:top w:val="single" w:color="000000" w:sz="16" w:space="0"/>
              <w:bottom w:val="single" w:color="000000" w:sz="16" w:space="0"/>
            </w:tcBorders>
            <w:shd w:val="clear" w:color="auto" w:fill="FFFFFF"/>
          </w:tcPr>
          <w:p w14:paraId="27C4C34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Valid Percent</w:t>
            </w:r>
          </w:p>
        </w:tc>
        <w:tc>
          <w:tcPr>
            <w:tcW w:w="1468" w:type="dxa"/>
            <w:tcBorders>
              <w:top w:val="single" w:color="000000" w:sz="16" w:space="0"/>
              <w:bottom w:val="single" w:color="000000" w:sz="16" w:space="0"/>
              <w:right w:val="single" w:color="000000" w:sz="16" w:space="0"/>
            </w:tcBorders>
            <w:shd w:val="clear" w:color="auto" w:fill="FFFFFF"/>
          </w:tcPr>
          <w:p w14:paraId="1C20563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Cumulative Percent</w:t>
            </w:r>
          </w:p>
        </w:tc>
      </w:tr>
      <w:tr w14:paraId="7F9F6B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vMerge w:val="restart"/>
            <w:tcBorders>
              <w:top w:val="single" w:color="000000" w:sz="16" w:space="0"/>
              <w:left w:val="single" w:color="000000" w:sz="16" w:space="0"/>
              <w:bottom w:val="nil"/>
              <w:right w:val="nil"/>
            </w:tcBorders>
            <w:shd w:val="clear" w:color="auto" w:fill="FFFFFF"/>
            <w:vAlign w:val="center"/>
          </w:tcPr>
          <w:p w14:paraId="57E07F9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Valid</w:t>
            </w:r>
          </w:p>
        </w:tc>
        <w:tc>
          <w:tcPr>
            <w:tcW w:w="1743" w:type="dxa"/>
            <w:tcBorders>
              <w:top w:val="single" w:color="000000" w:sz="16" w:space="0"/>
              <w:left w:val="nil"/>
              <w:bottom w:val="nil"/>
              <w:right w:val="single" w:color="000000" w:sz="16" w:space="0"/>
            </w:tcBorders>
            <w:shd w:val="clear" w:color="auto" w:fill="FFFFFF"/>
            <w:vAlign w:val="center"/>
          </w:tcPr>
          <w:p w14:paraId="628D80D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Strongly disagree</w:t>
            </w:r>
          </w:p>
        </w:tc>
        <w:tc>
          <w:tcPr>
            <w:tcW w:w="1147" w:type="dxa"/>
            <w:tcBorders>
              <w:top w:val="single" w:color="000000" w:sz="16" w:space="0"/>
              <w:left w:val="single" w:color="000000" w:sz="16" w:space="0"/>
              <w:bottom w:val="nil"/>
            </w:tcBorders>
            <w:shd w:val="clear" w:color="auto" w:fill="FFFFFF"/>
          </w:tcPr>
          <w:p w14:paraId="2408492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71</w:t>
            </w:r>
          </w:p>
        </w:tc>
        <w:tc>
          <w:tcPr>
            <w:tcW w:w="1009" w:type="dxa"/>
            <w:tcBorders>
              <w:top w:val="single" w:color="000000" w:sz="16" w:space="0"/>
              <w:bottom w:val="nil"/>
            </w:tcBorders>
            <w:shd w:val="clear" w:color="auto" w:fill="FFFFFF"/>
          </w:tcPr>
          <w:p w14:paraId="3B68371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24.7</w:t>
            </w:r>
          </w:p>
        </w:tc>
        <w:tc>
          <w:tcPr>
            <w:tcW w:w="1376" w:type="dxa"/>
            <w:tcBorders>
              <w:top w:val="single" w:color="000000" w:sz="16" w:space="0"/>
              <w:bottom w:val="nil"/>
            </w:tcBorders>
            <w:shd w:val="clear" w:color="auto" w:fill="FFFFFF"/>
          </w:tcPr>
          <w:p w14:paraId="5F24D94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25.2</w:t>
            </w:r>
          </w:p>
        </w:tc>
        <w:tc>
          <w:tcPr>
            <w:tcW w:w="1468" w:type="dxa"/>
            <w:tcBorders>
              <w:top w:val="single" w:color="000000" w:sz="16" w:space="0"/>
              <w:bottom w:val="nil"/>
              <w:right w:val="single" w:color="000000" w:sz="16" w:space="0"/>
            </w:tcBorders>
            <w:shd w:val="clear" w:color="auto" w:fill="FFFFFF"/>
          </w:tcPr>
          <w:p w14:paraId="0F1C8C2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25.2</w:t>
            </w:r>
          </w:p>
        </w:tc>
      </w:tr>
      <w:tr w14:paraId="5E8F7A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vMerge w:val="continue"/>
            <w:tcBorders>
              <w:top w:val="single" w:color="000000" w:sz="16" w:space="0"/>
              <w:left w:val="single" w:color="000000" w:sz="16" w:space="0"/>
              <w:bottom w:val="nil"/>
              <w:right w:val="nil"/>
            </w:tcBorders>
            <w:shd w:val="clear" w:color="auto" w:fill="FFFFFF"/>
            <w:vAlign w:val="center"/>
          </w:tcPr>
          <w:p w14:paraId="2D97E223">
            <w:pPr>
              <w:autoSpaceDE w:val="0"/>
              <w:autoSpaceDN w:val="0"/>
              <w:adjustRightInd w:val="0"/>
              <w:spacing w:after="0" w:line="240" w:lineRule="auto"/>
              <w:jc w:val="center"/>
              <w:rPr>
                <w:rFonts w:ascii="Arial" w:hAnsi="Arial" w:cs="Arial"/>
                <w:color w:val="000000"/>
                <w:sz w:val="18"/>
                <w:szCs w:val="18"/>
                <w:highlight w:val="none"/>
                <w:lang w:val="en-US"/>
              </w:rPr>
            </w:pPr>
          </w:p>
        </w:tc>
        <w:tc>
          <w:tcPr>
            <w:tcW w:w="1743" w:type="dxa"/>
            <w:tcBorders>
              <w:top w:val="nil"/>
              <w:left w:val="nil"/>
              <w:bottom w:val="nil"/>
              <w:right w:val="single" w:color="000000" w:sz="16" w:space="0"/>
            </w:tcBorders>
            <w:shd w:val="clear" w:color="auto" w:fill="FFFFFF"/>
            <w:vAlign w:val="center"/>
          </w:tcPr>
          <w:p w14:paraId="33E9FD9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Disagree</w:t>
            </w:r>
          </w:p>
        </w:tc>
        <w:tc>
          <w:tcPr>
            <w:tcW w:w="1147" w:type="dxa"/>
            <w:tcBorders>
              <w:top w:val="nil"/>
              <w:left w:val="single" w:color="000000" w:sz="16" w:space="0"/>
              <w:bottom w:val="nil"/>
            </w:tcBorders>
            <w:shd w:val="clear" w:color="auto" w:fill="FFFFFF"/>
          </w:tcPr>
          <w:p w14:paraId="31DCC44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57</w:t>
            </w:r>
          </w:p>
        </w:tc>
        <w:tc>
          <w:tcPr>
            <w:tcW w:w="1009" w:type="dxa"/>
            <w:tcBorders>
              <w:top w:val="nil"/>
              <w:bottom w:val="nil"/>
            </w:tcBorders>
            <w:shd w:val="clear" w:color="auto" w:fill="FFFFFF"/>
          </w:tcPr>
          <w:p w14:paraId="77093C4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19.8</w:t>
            </w:r>
          </w:p>
        </w:tc>
        <w:tc>
          <w:tcPr>
            <w:tcW w:w="1376" w:type="dxa"/>
            <w:tcBorders>
              <w:top w:val="nil"/>
              <w:bottom w:val="nil"/>
            </w:tcBorders>
            <w:shd w:val="clear" w:color="auto" w:fill="FFFFFF"/>
          </w:tcPr>
          <w:p w14:paraId="50CCA22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20.2</w:t>
            </w:r>
          </w:p>
        </w:tc>
        <w:tc>
          <w:tcPr>
            <w:tcW w:w="1468" w:type="dxa"/>
            <w:tcBorders>
              <w:top w:val="nil"/>
              <w:bottom w:val="nil"/>
              <w:right w:val="single" w:color="000000" w:sz="16" w:space="0"/>
            </w:tcBorders>
            <w:shd w:val="clear" w:color="auto" w:fill="FFFFFF"/>
          </w:tcPr>
          <w:p w14:paraId="2EC7DE5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45.4</w:t>
            </w:r>
          </w:p>
        </w:tc>
      </w:tr>
      <w:tr w14:paraId="1713EB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vMerge w:val="continue"/>
            <w:tcBorders>
              <w:top w:val="single" w:color="000000" w:sz="16" w:space="0"/>
              <w:left w:val="single" w:color="000000" w:sz="16" w:space="0"/>
              <w:bottom w:val="nil"/>
              <w:right w:val="nil"/>
            </w:tcBorders>
            <w:shd w:val="clear" w:color="auto" w:fill="FFFFFF"/>
            <w:vAlign w:val="center"/>
          </w:tcPr>
          <w:p w14:paraId="0DF9D9F3">
            <w:pPr>
              <w:autoSpaceDE w:val="0"/>
              <w:autoSpaceDN w:val="0"/>
              <w:adjustRightInd w:val="0"/>
              <w:spacing w:after="0" w:line="240" w:lineRule="auto"/>
              <w:jc w:val="center"/>
              <w:rPr>
                <w:rFonts w:ascii="Arial" w:hAnsi="Arial" w:cs="Arial"/>
                <w:color w:val="000000"/>
                <w:sz w:val="18"/>
                <w:szCs w:val="18"/>
                <w:highlight w:val="none"/>
                <w:lang w:val="en-US"/>
              </w:rPr>
            </w:pPr>
          </w:p>
        </w:tc>
        <w:tc>
          <w:tcPr>
            <w:tcW w:w="1743" w:type="dxa"/>
            <w:tcBorders>
              <w:top w:val="nil"/>
              <w:left w:val="nil"/>
              <w:bottom w:val="nil"/>
              <w:right w:val="single" w:color="000000" w:sz="16" w:space="0"/>
            </w:tcBorders>
            <w:shd w:val="clear" w:color="auto" w:fill="FFFFFF"/>
            <w:vAlign w:val="center"/>
          </w:tcPr>
          <w:p w14:paraId="1B6CF6F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Strongly agree</w:t>
            </w:r>
          </w:p>
        </w:tc>
        <w:tc>
          <w:tcPr>
            <w:tcW w:w="1147" w:type="dxa"/>
            <w:tcBorders>
              <w:top w:val="nil"/>
              <w:left w:val="single" w:color="000000" w:sz="16" w:space="0"/>
              <w:bottom w:val="nil"/>
            </w:tcBorders>
            <w:shd w:val="clear" w:color="auto" w:fill="FFFFFF"/>
          </w:tcPr>
          <w:p w14:paraId="5B58DC7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154</w:t>
            </w:r>
          </w:p>
        </w:tc>
        <w:tc>
          <w:tcPr>
            <w:tcW w:w="1009" w:type="dxa"/>
            <w:tcBorders>
              <w:top w:val="nil"/>
              <w:bottom w:val="nil"/>
            </w:tcBorders>
            <w:shd w:val="clear" w:color="auto" w:fill="FFFFFF"/>
          </w:tcPr>
          <w:p w14:paraId="57A53AD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53.5</w:t>
            </w:r>
          </w:p>
        </w:tc>
        <w:tc>
          <w:tcPr>
            <w:tcW w:w="1376" w:type="dxa"/>
            <w:tcBorders>
              <w:top w:val="nil"/>
              <w:bottom w:val="nil"/>
            </w:tcBorders>
            <w:shd w:val="clear" w:color="auto" w:fill="FFFFFF"/>
          </w:tcPr>
          <w:p w14:paraId="71D05E1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54.6</w:t>
            </w:r>
          </w:p>
        </w:tc>
        <w:tc>
          <w:tcPr>
            <w:tcW w:w="1468" w:type="dxa"/>
            <w:tcBorders>
              <w:top w:val="nil"/>
              <w:bottom w:val="nil"/>
              <w:right w:val="single" w:color="000000" w:sz="16" w:space="0"/>
            </w:tcBorders>
            <w:shd w:val="clear" w:color="auto" w:fill="FFFFFF"/>
          </w:tcPr>
          <w:p w14:paraId="4D77469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p>
        </w:tc>
      </w:tr>
      <w:tr w14:paraId="64E792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vMerge w:val="continue"/>
            <w:tcBorders>
              <w:top w:val="single" w:color="000000" w:sz="16" w:space="0"/>
              <w:left w:val="single" w:color="000000" w:sz="16" w:space="0"/>
              <w:bottom w:val="nil"/>
              <w:right w:val="nil"/>
            </w:tcBorders>
            <w:shd w:val="clear" w:color="auto" w:fill="FFFFFF"/>
            <w:vAlign w:val="center"/>
          </w:tcPr>
          <w:p w14:paraId="7553321A">
            <w:pPr>
              <w:autoSpaceDE w:val="0"/>
              <w:autoSpaceDN w:val="0"/>
              <w:adjustRightInd w:val="0"/>
              <w:spacing w:after="0" w:line="240" w:lineRule="auto"/>
              <w:jc w:val="center"/>
              <w:rPr>
                <w:rFonts w:ascii="Arial" w:hAnsi="Arial" w:cs="Arial"/>
                <w:color w:val="000000"/>
                <w:sz w:val="18"/>
                <w:szCs w:val="18"/>
                <w:highlight w:val="none"/>
                <w:lang w:val="en-US"/>
              </w:rPr>
            </w:pPr>
          </w:p>
        </w:tc>
        <w:tc>
          <w:tcPr>
            <w:tcW w:w="1743" w:type="dxa"/>
            <w:tcBorders>
              <w:top w:val="nil"/>
              <w:left w:val="nil"/>
              <w:bottom w:val="nil"/>
              <w:right w:val="single" w:color="000000" w:sz="16" w:space="0"/>
            </w:tcBorders>
            <w:shd w:val="clear" w:color="auto" w:fill="FFFFFF"/>
            <w:vAlign w:val="center"/>
          </w:tcPr>
          <w:p w14:paraId="4B341AB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Total</w:t>
            </w:r>
          </w:p>
        </w:tc>
        <w:tc>
          <w:tcPr>
            <w:tcW w:w="1147" w:type="dxa"/>
            <w:tcBorders>
              <w:top w:val="nil"/>
              <w:left w:val="single" w:color="000000" w:sz="16" w:space="0"/>
              <w:bottom w:val="nil"/>
            </w:tcBorders>
            <w:shd w:val="clear" w:color="auto" w:fill="FFFFFF"/>
          </w:tcPr>
          <w:p w14:paraId="1DBDB84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1009" w:type="dxa"/>
            <w:tcBorders>
              <w:top w:val="nil"/>
              <w:bottom w:val="nil"/>
            </w:tcBorders>
            <w:shd w:val="clear" w:color="auto" w:fill="FFFFFF"/>
          </w:tcPr>
          <w:p w14:paraId="61C1575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97.9</w:t>
            </w:r>
          </w:p>
        </w:tc>
        <w:tc>
          <w:tcPr>
            <w:tcW w:w="1376" w:type="dxa"/>
            <w:tcBorders>
              <w:top w:val="nil"/>
              <w:bottom w:val="nil"/>
            </w:tcBorders>
            <w:shd w:val="clear" w:color="auto" w:fill="FFFFFF"/>
          </w:tcPr>
          <w:p w14:paraId="599FB07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p>
        </w:tc>
        <w:tc>
          <w:tcPr>
            <w:tcW w:w="1468" w:type="dxa"/>
            <w:tcBorders>
              <w:top w:val="nil"/>
              <w:bottom w:val="nil"/>
              <w:right w:val="single" w:color="000000" w:sz="16" w:space="0"/>
            </w:tcBorders>
            <w:shd w:val="clear" w:color="auto" w:fill="FFFFFF"/>
          </w:tcPr>
          <w:p w14:paraId="6FB863A6">
            <w:pPr>
              <w:autoSpaceDE w:val="0"/>
              <w:autoSpaceDN w:val="0"/>
              <w:adjustRightInd w:val="0"/>
              <w:spacing w:after="0" w:line="240" w:lineRule="auto"/>
              <w:jc w:val="center"/>
              <w:rPr>
                <w:rFonts w:cs="Times New Roman"/>
                <w:szCs w:val="24"/>
                <w:highlight w:val="none"/>
                <w:lang w:val="en-US"/>
              </w:rPr>
            </w:pPr>
          </w:p>
        </w:tc>
      </w:tr>
      <w:tr w14:paraId="194A97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tcBorders>
              <w:top w:val="nil"/>
              <w:left w:val="single" w:color="000000" w:sz="16" w:space="0"/>
              <w:bottom w:val="nil"/>
              <w:right w:val="nil"/>
            </w:tcBorders>
            <w:shd w:val="clear" w:color="auto" w:fill="FFFFFF"/>
            <w:vAlign w:val="center"/>
          </w:tcPr>
          <w:p w14:paraId="60EDCA7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Missing</w:t>
            </w:r>
          </w:p>
        </w:tc>
        <w:tc>
          <w:tcPr>
            <w:tcW w:w="1743" w:type="dxa"/>
            <w:tcBorders>
              <w:top w:val="nil"/>
              <w:left w:val="nil"/>
              <w:bottom w:val="nil"/>
              <w:right w:val="single" w:color="000000" w:sz="16" w:space="0"/>
            </w:tcBorders>
            <w:shd w:val="clear" w:color="auto" w:fill="FFFFFF"/>
            <w:vAlign w:val="center"/>
          </w:tcPr>
          <w:p w14:paraId="053D347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System</w:t>
            </w:r>
          </w:p>
        </w:tc>
        <w:tc>
          <w:tcPr>
            <w:tcW w:w="1147" w:type="dxa"/>
            <w:tcBorders>
              <w:top w:val="nil"/>
              <w:left w:val="single" w:color="000000" w:sz="16" w:space="0"/>
              <w:bottom w:val="nil"/>
            </w:tcBorders>
            <w:shd w:val="clear" w:color="auto" w:fill="FFFFFF"/>
          </w:tcPr>
          <w:p w14:paraId="4364ABA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6</w:t>
            </w:r>
          </w:p>
        </w:tc>
        <w:tc>
          <w:tcPr>
            <w:tcW w:w="1009" w:type="dxa"/>
            <w:tcBorders>
              <w:top w:val="nil"/>
              <w:bottom w:val="nil"/>
            </w:tcBorders>
            <w:shd w:val="clear" w:color="auto" w:fill="FFFFFF"/>
          </w:tcPr>
          <w:p w14:paraId="593D592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2.1</w:t>
            </w:r>
          </w:p>
        </w:tc>
        <w:tc>
          <w:tcPr>
            <w:tcW w:w="1376" w:type="dxa"/>
            <w:tcBorders>
              <w:top w:val="nil"/>
              <w:bottom w:val="nil"/>
            </w:tcBorders>
            <w:shd w:val="clear" w:color="auto" w:fill="FFFFFF"/>
          </w:tcPr>
          <w:p w14:paraId="4C0D9D5A">
            <w:pPr>
              <w:autoSpaceDE w:val="0"/>
              <w:autoSpaceDN w:val="0"/>
              <w:adjustRightInd w:val="0"/>
              <w:spacing w:after="0" w:line="240" w:lineRule="auto"/>
              <w:jc w:val="center"/>
              <w:rPr>
                <w:rFonts w:cs="Times New Roman"/>
                <w:szCs w:val="24"/>
                <w:highlight w:val="none"/>
                <w:lang w:val="en-US"/>
              </w:rPr>
            </w:pPr>
          </w:p>
        </w:tc>
        <w:tc>
          <w:tcPr>
            <w:tcW w:w="1468" w:type="dxa"/>
            <w:tcBorders>
              <w:top w:val="nil"/>
              <w:bottom w:val="nil"/>
              <w:right w:val="single" w:color="000000" w:sz="16" w:space="0"/>
            </w:tcBorders>
            <w:shd w:val="clear" w:color="auto" w:fill="FFFFFF"/>
          </w:tcPr>
          <w:p w14:paraId="588715CA">
            <w:pPr>
              <w:autoSpaceDE w:val="0"/>
              <w:autoSpaceDN w:val="0"/>
              <w:adjustRightInd w:val="0"/>
              <w:spacing w:after="0" w:line="240" w:lineRule="auto"/>
              <w:jc w:val="center"/>
              <w:rPr>
                <w:rFonts w:cs="Times New Roman"/>
                <w:szCs w:val="24"/>
                <w:highlight w:val="none"/>
                <w:lang w:val="en-US"/>
              </w:rPr>
            </w:pPr>
          </w:p>
        </w:tc>
      </w:tr>
      <w:tr w14:paraId="56A6B3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676" w:type="dxa"/>
            <w:gridSpan w:val="2"/>
            <w:tcBorders>
              <w:top w:val="nil"/>
              <w:left w:val="single" w:color="000000" w:sz="16" w:space="0"/>
              <w:bottom w:val="single" w:color="000000" w:sz="16" w:space="0"/>
              <w:right w:val="nil"/>
            </w:tcBorders>
            <w:shd w:val="clear" w:color="auto" w:fill="FFFFFF"/>
            <w:vAlign w:val="center"/>
          </w:tcPr>
          <w:p w14:paraId="6FD957B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Total</w:t>
            </w:r>
          </w:p>
        </w:tc>
        <w:tc>
          <w:tcPr>
            <w:tcW w:w="1147" w:type="dxa"/>
            <w:tcBorders>
              <w:top w:val="nil"/>
              <w:left w:val="single" w:color="000000" w:sz="16" w:space="0"/>
              <w:bottom w:val="single" w:color="000000" w:sz="16" w:space="0"/>
            </w:tcBorders>
            <w:shd w:val="clear" w:color="auto" w:fill="FFFFFF"/>
          </w:tcPr>
          <w:p w14:paraId="02F4495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288</w:t>
            </w:r>
          </w:p>
        </w:tc>
        <w:tc>
          <w:tcPr>
            <w:tcW w:w="1009" w:type="dxa"/>
            <w:tcBorders>
              <w:top w:val="nil"/>
              <w:bottom w:val="single" w:color="000000" w:sz="16" w:space="0"/>
            </w:tcBorders>
            <w:shd w:val="clear" w:color="auto" w:fill="FFFFFF"/>
          </w:tcPr>
          <w:p w14:paraId="147CC32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p>
        </w:tc>
        <w:tc>
          <w:tcPr>
            <w:tcW w:w="1376" w:type="dxa"/>
            <w:tcBorders>
              <w:top w:val="nil"/>
              <w:bottom w:val="single" w:color="000000" w:sz="16" w:space="0"/>
            </w:tcBorders>
            <w:shd w:val="clear" w:color="auto" w:fill="FFFFFF"/>
          </w:tcPr>
          <w:p w14:paraId="152D53A0">
            <w:pPr>
              <w:autoSpaceDE w:val="0"/>
              <w:autoSpaceDN w:val="0"/>
              <w:adjustRightInd w:val="0"/>
              <w:spacing w:after="0" w:line="240" w:lineRule="auto"/>
              <w:jc w:val="center"/>
              <w:rPr>
                <w:rFonts w:cs="Times New Roman"/>
                <w:szCs w:val="24"/>
                <w:highlight w:val="none"/>
                <w:lang w:val="en-US"/>
              </w:rPr>
            </w:pPr>
          </w:p>
        </w:tc>
        <w:tc>
          <w:tcPr>
            <w:tcW w:w="1468" w:type="dxa"/>
            <w:tcBorders>
              <w:top w:val="nil"/>
              <w:bottom w:val="single" w:color="000000" w:sz="16" w:space="0"/>
              <w:right w:val="single" w:color="000000" w:sz="16" w:space="0"/>
            </w:tcBorders>
            <w:shd w:val="clear" w:color="auto" w:fill="FFFFFF"/>
          </w:tcPr>
          <w:p w14:paraId="5B4E5444">
            <w:pPr>
              <w:autoSpaceDE w:val="0"/>
              <w:autoSpaceDN w:val="0"/>
              <w:adjustRightInd w:val="0"/>
              <w:spacing w:after="0" w:line="240" w:lineRule="auto"/>
              <w:jc w:val="center"/>
              <w:rPr>
                <w:rFonts w:cs="Times New Roman"/>
                <w:szCs w:val="24"/>
                <w:highlight w:val="none"/>
                <w:lang w:val="en-US"/>
              </w:rPr>
            </w:pPr>
          </w:p>
        </w:tc>
      </w:tr>
    </w:tbl>
    <w:p w14:paraId="5E82CF43">
      <w:pPr>
        <w:autoSpaceDE w:val="0"/>
        <w:autoSpaceDN w:val="0"/>
        <w:adjustRightInd w:val="0"/>
        <w:spacing w:after="0" w:line="400" w:lineRule="atLeast"/>
        <w:jc w:val="center"/>
        <w:rPr>
          <w:rFonts w:cs="Times New Roman"/>
          <w:szCs w:val="24"/>
          <w:highlight w:val="none"/>
          <w:lang w:val="en-US"/>
        </w:rPr>
      </w:pPr>
    </w:p>
    <w:p w14:paraId="384931D5">
      <w:pPr>
        <w:adjustRightInd w:val="0"/>
        <w:jc w:val="center"/>
        <w:rPr>
          <w:rFonts w:cs="Times New Roman"/>
          <w:szCs w:val="24"/>
          <w:highlight w:val="none"/>
          <w:lang w:val="en-US"/>
        </w:rPr>
      </w:pPr>
      <w:r>
        <w:rPr>
          <w:rFonts w:cs="Times New Roman"/>
          <w:szCs w:val="24"/>
          <w:highlight w:val="none"/>
          <w:lang w:val="en-US"/>
        </w:rPr>
        <w:br w:type="textWrapping" w:clear="all"/>
      </w:r>
      <w:r>
        <w:rPr>
          <w:highlight w:val="none"/>
        </w:rPr>
        <w:drawing>
          <wp:inline distT="0" distB="0" distL="0" distR="0">
            <wp:extent cx="5943600" cy="20974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943600" cy="2097521"/>
                    </a:xfrm>
                    <a:prstGeom prst="rect">
                      <a:avLst/>
                    </a:prstGeom>
                    <a:noFill/>
                    <a:ln>
                      <a:noFill/>
                    </a:ln>
                  </pic:spPr>
                </pic:pic>
              </a:graphicData>
            </a:graphic>
          </wp:inline>
        </w:drawing>
      </w:r>
    </w:p>
    <w:p w14:paraId="3553ABFF">
      <w:pPr>
        <w:autoSpaceDE w:val="0"/>
        <w:autoSpaceDN w:val="0"/>
        <w:adjustRightInd w:val="0"/>
        <w:spacing w:after="0" w:line="240" w:lineRule="auto"/>
        <w:jc w:val="center"/>
        <w:rPr>
          <w:rFonts w:cs="Times New Roman"/>
          <w:szCs w:val="24"/>
          <w:highlight w:val="none"/>
          <w:lang w:val="en-US"/>
        </w:rPr>
      </w:pPr>
    </w:p>
    <w:tbl>
      <w:tblPr>
        <w:tblStyle w:val="12"/>
        <w:tblW w:w="741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33"/>
        <w:gridCol w:w="1484"/>
        <w:gridCol w:w="1147"/>
        <w:gridCol w:w="1009"/>
        <w:gridCol w:w="1377"/>
        <w:gridCol w:w="1469"/>
      </w:tblGrid>
      <w:tr w14:paraId="4F72FC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416" w:type="dxa"/>
            <w:gridSpan w:val="6"/>
            <w:tcBorders>
              <w:top w:val="nil"/>
              <w:left w:val="nil"/>
              <w:bottom w:val="nil"/>
              <w:right w:val="nil"/>
            </w:tcBorders>
            <w:shd w:val="clear" w:color="auto" w:fill="FFFFFF"/>
          </w:tcPr>
          <w:p w14:paraId="2B0663C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b/>
                <w:bCs/>
                <w:color w:val="000000"/>
                <w:sz w:val="18"/>
                <w:szCs w:val="18"/>
                <w:highlight w:val="none"/>
                <w:lang w:val="en-US"/>
              </w:rPr>
              <w:t>Q 10.</w:t>
            </w:r>
          </w:p>
        </w:tc>
      </w:tr>
      <w:tr w14:paraId="09F66A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416" w:type="dxa"/>
            <w:gridSpan w:val="2"/>
            <w:tcBorders>
              <w:top w:val="single" w:color="000000" w:sz="16" w:space="0"/>
              <w:left w:val="single" w:color="000000" w:sz="16" w:space="0"/>
              <w:bottom w:val="single" w:color="000000" w:sz="16" w:space="0"/>
              <w:right w:val="nil"/>
            </w:tcBorders>
            <w:shd w:val="clear" w:color="auto" w:fill="FFFFFF"/>
          </w:tcPr>
          <w:p w14:paraId="6543F02C">
            <w:pPr>
              <w:autoSpaceDE w:val="0"/>
              <w:autoSpaceDN w:val="0"/>
              <w:adjustRightInd w:val="0"/>
              <w:spacing w:after="0" w:line="240" w:lineRule="auto"/>
              <w:jc w:val="center"/>
              <w:rPr>
                <w:rFonts w:cs="Times New Roman"/>
                <w:szCs w:val="24"/>
                <w:highlight w:val="none"/>
                <w:lang w:val="en-US"/>
              </w:rPr>
            </w:pPr>
          </w:p>
        </w:tc>
        <w:tc>
          <w:tcPr>
            <w:tcW w:w="1147" w:type="dxa"/>
            <w:tcBorders>
              <w:top w:val="single" w:color="000000" w:sz="16" w:space="0"/>
              <w:left w:val="single" w:color="000000" w:sz="16" w:space="0"/>
              <w:bottom w:val="single" w:color="000000" w:sz="16" w:space="0"/>
            </w:tcBorders>
            <w:shd w:val="clear" w:color="auto" w:fill="FFFFFF"/>
          </w:tcPr>
          <w:p w14:paraId="6C7D120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Frequency</w:t>
            </w:r>
          </w:p>
        </w:tc>
        <w:tc>
          <w:tcPr>
            <w:tcW w:w="1009" w:type="dxa"/>
            <w:tcBorders>
              <w:top w:val="single" w:color="000000" w:sz="16" w:space="0"/>
              <w:bottom w:val="single" w:color="000000" w:sz="16" w:space="0"/>
            </w:tcBorders>
            <w:shd w:val="clear" w:color="auto" w:fill="FFFFFF"/>
          </w:tcPr>
          <w:p w14:paraId="16AB5C2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Percent</w:t>
            </w:r>
          </w:p>
        </w:tc>
        <w:tc>
          <w:tcPr>
            <w:tcW w:w="1376" w:type="dxa"/>
            <w:tcBorders>
              <w:top w:val="single" w:color="000000" w:sz="16" w:space="0"/>
              <w:bottom w:val="single" w:color="000000" w:sz="16" w:space="0"/>
            </w:tcBorders>
            <w:shd w:val="clear" w:color="auto" w:fill="FFFFFF"/>
          </w:tcPr>
          <w:p w14:paraId="5A6BEDE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Valid Percent</w:t>
            </w:r>
          </w:p>
        </w:tc>
        <w:tc>
          <w:tcPr>
            <w:tcW w:w="1468" w:type="dxa"/>
            <w:tcBorders>
              <w:top w:val="single" w:color="000000" w:sz="16" w:space="0"/>
              <w:bottom w:val="single" w:color="000000" w:sz="16" w:space="0"/>
              <w:right w:val="single" w:color="000000" w:sz="16" w:space="0"/>
            </w:tcBorders>
            <w:shd w:val="clear" w:color="auto" w:fill="FFFFFF"/>
          </w:tcPr>
          <w:p w14:paraId="28AEA5E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Cumulative Percent</w:t>
            </w:r>
          </w:p>
        </w:tc>
      </w:tr>
      <w:tr w14:paraId="28A44A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vMerge w:val="restart"/>
            <w:tcBorders>
              <w:top w:val="single" w:color="000000" w:sz="16" w:space="0"/>
              <w:left w:val="single" w:color="000000" w:sz="16" w:space="0"/>
              <w:bottom w:val="nil"/>
              <w:right w:val="nil"/>
            </w:tcBorders>
            <w:shd w:val="clear" w:color="auto" w:fill="FFFFFF"/>
            <w:vAlign w:val="center"/>
          </w:tcPr>
          <w:p w14:paraId="0F4125A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Valid</w:t>
            </w:r>
          </w:p>
        </w:tc>
        <w:tc>
          <w:tcPr>
            <w:tcW w:w="1483" w:type="dxa"/>
            <w:tcBorders>
              <w:top w:val="single" w:color="000000" w:sz="16" w:space="0"/>
              <w:left w:val="nil"/>
              <w:bottom w:val="nil"/>
              <w:right w:val="single" w:color="000000" w:sz="16" w:space="0"/>
            </w:tcBorders>
            <w:shd w:val="clear" w:color="auto" w:fill="FFFFFF"/>
            <w:vAlign w:val="center"/>
          </w:tcPr>
          <w:p w14:paraId="7793135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Disagree</w:t>
            </w:r>
          </w:p>
        </w:tc>
        <w:tc>
          <w:tcPr>
            <w:tcW w:w="1147" w:type="dxa"/>
            <w:tcBorders>
              <w:top w:val="single" w:color="000000" w:sz="16" w:space="0"/>
              <w:left w:val="single" w:color="000000" w:sz="16" w:space="0"/>
              <w:bottom w:val="nil"/>
            </w:tcBorders>
            <w:shd w:val="clear" w:color="auto" w:fill="FFFFFF"/>
          </w:tcPr>
          <w:p w14:paraId="7D3B01C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127</w:t>
            </w:r>
          </w:p>
        </w:tc>
        <w:tc>
          <w:tcPr>
            <w:tcW w:w="1009" w:type="dxa"/>
            <w:tcBorders>
              <w:top w:val="single" w:color="000000" w:sz="16" w:space="0"/>
              <w:bottom w:val="nil"/>
            </w:tcBorders>
            <w:shd w:val="clear" w:color="auto" w:fill="FFFFFF"/>
          </w:tcPr>
          <w:p w14:paraId="1CBCF24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44.1</w:t>
            </w:r>
          </w:p>
        </w:tc>
        <w:tc>
          <w:tcPr>
            <w:tcW w:w="1376" w:type="dxa"/>
            <w:tcBorders>
              <w:top w:val="single" w:color="000000" w:sz="16" w:space="0"/>
              <w:bottom w:val="nil"/>
            </w:tcBorders>
            <w:shd w:val="clear" w:color="auto" w:fill="FFFFFF"/>
          </w:tcPr>
          <w:p w14:paraId="21AAE86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45.0</w:t>
            </w:r>
          </w:p>
        </w:tc>
        <w:tc>
          <w:tcPr>
            <w:tcW w:w="1468" w:type="dxa"/>
            <w:tcBorders>
              <w:top w:val="single" w:color="000000" w:sz="16" w:space="0"/>
              <w:bottom w:val="nil"/>
              <w:right w:val="single" w:color="000000" w:sz="16" w:space="0"/>
            </w:tcBorders>
            <w:shd w:val="clear" w:color="auto" w:fill="FFFFFF"/>
          </w:tcPr>
          <w:p w14:paraId="05EB43F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45.0</w:t>
            </w:r>
          </w:p>
        </w:tc>
      </w:tr>
      <w:tr w14:paraId="5ACA0D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vMerge w:val="continue"/>
            <w:tcBorders>
              <w:top w:val="single" w:color="000000" w:sz="16" w:space="0"/>
              <w:left w:val="single" w:color="000000" w:sz="16" w:space="0"/>
              <w:bottom w:val="nil"/>
              <w:right w:val="nil"/>
            </w:tcBorders>
            <w:shd w:val="clear" w:color="auto" w:fill="FFFFFF"/>
            <w:vAlign w:val="center"/>
          </w:tcPr>
          <w:p w14:paraId="52DE2187">
            <w:pPr>
              <w:autoSpaceDE w:val="0"/>
              <w:autoSpaceDN w:val="0"/>
              <w:adjustRightInd w:val="0"/>
              <w:spacing w:after="0" w:line="240" w:lineRule="auto"/>
              <w:jc w:val="center"/>
              <w:rPr>
                <w:rFonts w:ascii="Arial" w:hAnsi="Arial" w:cs="Arial"/>
                <w:color w:val="000000"/>
                <w:sz w:val="18"/>
                <w:szCs w:val="18"/>
                <w:highlight w:val="none"/>
                <w:lang w:val="en-US"/>
              </w:rPr>
            </w:pPr>
          </w:p>
        </w:tc>
        <w:tc>
          <w:tcPr>
            <w:tcW w:w="1483" w:type="dxa"/>
            <w:tcBorders>
              <w:top w:val="nil"/>
              <w:left w:val="nil"/>
              <w:bottom w:val="nil"/>
              <w:right w:val="single" w:color="000000" w:sz="16" w:space="0"/>
            </w:tcBorders>
            <w:shd w:val="clear" w:color="auto" w:fill="FFFFFF"/>
            <w:vAlign w:val="center"/>
          </w:tcPr>
          <w:p w14:paraId="356ED81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Strongly agree</w:t>
            </w:r>
          </w:p>
        </w:tc>
        <w:tc>
          <w:tcPr>
            <w:tcW w:w="1147" w:type="dxa"/>
            <w:tcBorders>
              <w:top w:val="nil"/>
              <w:left w:val="single" w:color="000000" w:sz="16" w:space="0"/>
              <w:bottom w:val="nil"/>
            </w:tcBorders>
            <w:shd w:val="clear" w:color="auto" w:fill="FFFFFF"/>
          </w:tcPr>
          <w:p w14:paraId="3024210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155</w:t>
            </w:r>
          </w:p>
        </w:tc>
        <w:tc>
          <w:tcPr>
            <w:tcW w:w="1009" w:type="dxa"/>
            <w:tcBorders>
              <w:top w:val="nil"/>
              <w:bottom w:val="nil"/>
            </w:tcBorders>
            <w:shd w:val="clear" w:color="auto" w:fill="FFFFFF"/>
          </w:tcPr>
          <w:p w14:paraId="1349136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53.8</w:t>
            </w:r>
          </w:p>
        </w:tc>
        <w:tc>
          <w:tcPr>
            <w:tcW w:w="1376" w:type="dxa"/>
            <w:tcBorders>
              <w:top w:val="nil"/>
              <w:bottom w:val="nil"/>
            </w:tcBorders>
            <w:shd w:val="clear" w:color="auto" w:fill="FFFFFF"/>
          </w:tcPr>
          <w:p w14:paraId="22D8907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55.0</w:t>
            </w:r>
          </w:p>
        </w:tc>
        <w:tc>
          <w:tcPr>
            <w:tcW w:w="1468" w:type="dxa"/>
            <w:tcBorders>
              <w:top w:val="nil"/>
              <w:bottom w:val="nil"/>
              <w:right w:val="single" w:color="000000" w:sz="16" w:space="0"/>
            </w:tcBorders>
            <w:shd w:val="clear" w:color="auto" w:fill="FFFFFF"/>
          </w:tcPr>
          <w:p w14:paraId="0377B3E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p>
        </w:tc>
      </w:tr>
      <w:tr w14:paraId="746222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vMerge w:val="continue"/>
            <w:tcBorders>
              <w:top w:val="single" w:color="000000" w:sz="16" w:space="0"/>
              <w:left w:val="single" w:color="000000" w:sz="16" w:space="0"/>
              <w:bottom w:val="nil"/>
              <w:right w:val="nil"/>
            </w:tcBorders>
            <w:shd w:val="clear" w:color="auto" w:fill="FFFFFF"/>
            <w:vAlign w:val="center"/>
          </w:tcPr>
          <w:p w14:paraId="1E20D12C">
            <w:pPr>
              <w:autoSpaceDE w:val="0"/>
              <w:autoSpaceDN w:val="0"/>
              <w:adjustRightInd w:val="0"/>
              <w:spacing w:after="0" w:line="240" w:lineRule="auto"/>
              <w:jc w:val="center"/>
              <w:rPr>
                <w:rFonts w:ascii="Arial" w:hAnsi="Arial" w:cs="Arial"/>
                <w:color w:val="000000"/>
                <w:sz w:val="18"/>
                <w:szCs w:val="18"/>
                <w:highlight w:val="none"/>
                <w:lang w:val="en-US"/>
              </w:rPr>
            </w:pPr>
          </w:p>
        </w:tc>
        <w:tc>
          <w:tcPr>
            <w:tcW w:w="1483" w:type="dxa"/>
            <w:tcBorders>
              <w:top w:val="nil"/>
              <w:left w:val="nil"/>
              <w:bottom w:val="nil"/>
              <w:right w:val="single" w:color="000000" w:sz="16" w:space="0"/>
            </w:tcBorders>
            <w:shd w:val="clear" w:color="auto" w:fill="FFFFFF"/>
            <w:vAlign w:val="center"/>
          </w:tcPr>
          <w:p w14:paraId="58F9CC0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Total</w:t>
            </w:r>
          </w:p>
        </w:tc>
        <w:tc>
          <w:tcPr>
            <w:tcW w:w="1147" w:type="dxa"/>
            <w:tcBorders>
              <w:top w:val="nil"/>
              <w:left w:val="single" w:color="000000" w:sz="16" w:space="0"/>
              <w:bottom w:val="nil"/>
            </w:tcBorders>
            <w:shd w:val="clear" w:color="auto" w:fill="FFFFFF"/>
          </w:tcPr>
          <w:p w14:paraId="76CEBF0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1009" w:type="dxa"/>
            <w:tcBorders>
              <w:top w:val="nil"/>
              <w:bottom w:val="nil"/>
            </w:tcBorders>
            <w:shd w:val="clear" w:color="auto" w:fill="FFFFFF"/>
          </w:tcPr>
          <w:p w14:paraId="157FEF3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97.9</w:t>
            </w:r>
          </w:p>
        </w:tc>
        <w:tc>
          <w:tcPr>
            <w:tcW w:w="1376" w:type="dxa"/>
            <w:tcBorders>
              <w:top w:val="nil"/>
              <w:bottom w:val="nil"/>
            </w:tcBorders>
            <w:shd w:val="clear" w:color="auto" w:fill="FFFFFF"/>
          </w:tcPr>
          <w:p w14:paraId="6EDB183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p>
        </w:tc>
        <w:tc>
          <w:tcPr>
            <w:tcW w:w="1468" w:type="dxa"/>
            <w:tcBorders>
              <w:top w:val="nil"/>
              <w:bottom w:val="nil"/>
              <w:right w:val="single" w:color="000000" w:sz="16" w:space="0"/>
            </w:tcBorders>
            <w:shd w:val="clear" w:color="auto" w:fill="FFFFFF"/>
          </w:tcPr>
          <w:p w14:paraId="707C59CC">
            <w:pPr>
              <w:autoSpaceDE w:val="0"/>
              <w:autoSpaceDN w:val="0"/>
              <w:adjustRightInd w:val="0"/>
              <w:spacing w:after="0" w:line="240" w:lineRule="auto"/>
              <w:jc w:val="center"/>
              <w:rPr>
                <w:rFonts w:cs="Times New Roman"/>
                <w:szCs w:val="24"/>
                <w:highlight w:val="none"/>
                <w:lang w:val="en-US"/>
              </w:rPr>
            </w:pPr>
          </w:p>
        </w:tc>
      </w:tr>
      <w:tr w14:paraId="05EC4A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tcBorders>
              <w:top w:val="nil"/>
              <w:left w:val="single" w:color="000000" w:sz="16" w:space="0"/>
              <w:bottom w:val="nil"/>
              <w:right w:val="nil"/>
            </w:tcBorders>
            <w:shd w:val="clear" w:color="auto" w:fill="FFFFFF"/>
            <w:vAlign w:val="center"/>
          </w:tcPr>
          <w:p w14:paraId="66DD0D2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Missing</w:t>
            </w:r>
          </w:p>
        </w:tc>
        <w:tc>
          <w:tcPr>
            <w:tcW w:w="1483" w:type="dxa"/>
            <w:tcBorders>
              <w:top w:val="nil"/>
              <w:left w:val="nil"/>
              <w:bottom w:val="nil"/>
              <w:right w:val="single" w:color="000000" w:sz="16" w:space="0"/>
            </w:tcBorders>
            <w:shd w:val="clear" w:color="auto" w:fill="FFFFFF"/>
            <w:vAlign w:val="center"/>
          </w:tcPr>
          <w:p w14:paraId="5CB14EC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System</w:t>
            </w:r>
          </w:p>
        </w:tc>
        <w:tc>
          <w:tcPr>
            <w:tcW w:w="1147" w:type="dxa"/>
            <w:tcBorders>
              <w:top w:val="nil"/>
              <w:left w:val="single" w:color="000000" w:sz="16" w:space="0"/>
              <w:bottom w:val="nil"/>
            </w:tcBorders>
            <w:shd w:val="clear" w:color="auto" w:fill="FFFFFF"/>
          </w:tcPr>
          <w:p w14:paraId="7D18708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6</w:t>
            </w:r>
          </w:p>
        </w:tc>
        <w:tc>
          <w:tcPr>
            <w:tcW w:w="1009" w:type="dxa"/>
            <w:tcBorders>
              <w:top w:val="nil"/>
              <w:bottom w:val="nil"/>
            </w:tcBorders>
            <w:shd w:val="clear" w:color="auto" w:fill="FFFFFF"/>
          </w:tcPr>
          <w:p w14:paraId="65C53BB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2.1</w:t>
            </w:r>
          </w:p>
        </w:tc>
        <w:tc>
          <w:tcPr>
            <w:tcW w:w="1376" w:type="dxa"/>
            <w:tcBorders>
              <w:top w:val="nil"/>
              <w:bottom w:val="nil"/>
            </w:tcBorders>
            <w:shd w:val="clear" w:color="auto" w:fill="FFFFFF"/>
          </w:tcPr>
          <w:p w14:paraId="314B0642">
            <w:pPr>
              <w:autoSpaceDE w:val="0"/>
              <w:autoSpaceDN w:val="0"/>
              <w:adjustRightInd w:val="0"/>
              <w:spacing w:after="0" w:line="240" w:lineRule="auto"/>
              <w:jc w:val="center"/>
              <w:rPr>
                <w:rFonts w:cs="Times New Roman"/>
                <w:szCs w:val="24"/>
                <w:highlight w:val="none"/>
                <w:lang w:val="en-US"/>
              </w:rPr>
            </w:pPr>
          </w:p>
        </w:tc>
        <w:tc>
          <w:tcPr>
            <w:tcW w:w="1468" w:type="dxa"/>
            <w:tcBorders>
              <w:top w:val="nil"/>
              <w:bottom w:val="nil"/>
              <w:right w:val="single" w:color="000000" w:sz="16" w:space="0"/>
            </w:tcBorders>
            <w:shd w:val="clear" w:color="auto" w:fill="FFFFFF"/>
          </w:tcPr>
          <w:p w14:paraId="74AFE272">
            <w:pPr>
              <w:autoSpaceDE w:val="0"/>
              <w:autoSpaceDN w:val="0"/>
              <w:adjustRightInd w:val="0"/>
              <w:spacing w:after="0" w:line="240" w:lineRule="auto"/>
              <w:jc w:val="center"/>
              <w:rPr>
                <w:rFonts w:cs="Times New Roman"/>
                <w:szCs w:val="24"/>
                <w:highlight w:val="none"/>
                <w:lang w:val="en-US"/>
              </w:rPr>
            </w:pPr>
          </w:p>
        </w:tc>
      </w:tr>
      <w:tr w14:paraId="4008B9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416" w:type="dxa"/>
            <w:gridSpan w:val="2"/>
            <w:tcBorders>
              <w:top w:val="nil"/>
              <w:left w:val="single" w:color="000000" w:sz="16" w:space="0"/>
              <w:bottom w:val="single" w:color="000000" w:sz="16" w:space="0"/>
              <w:right w:val="nil"/>
            </w:tcBorders>
            <w:shd w:val="clear" w:color="auto" w:fill="FFFFFF"/>
            <w:vAlign w:val="center"/>
          </w:tcPr>
          <w:p w14:paraId="3D0E4E2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Total</w:t>
            </w:r>
          </w:p>
        </w:tc>
        <w:tc>
          <w:tcPr>
            <w:tcW w:w="1147" w:type="dxa"/>
            <w:tcBorders>
              <w:top w:val="nil"/>
              <w:left w:val="single" w:color="000000" w:sz="16" w:space="0"/>
              <w:bottom w:val="single" w:color="000000" w:sz="16" w:space="0"/>
            </w:tcBorders>
            <w:shd w:val="clear" w:color="auto" w:fill="FFFFFF"/>
          </w:tcPr>
          <w:p w14:paraId="7729CC2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288</w:t>
            </w:r>
          </w:p>
        </w:tc>
        <w:tc>
          <w:tcPr>
            <w:tcW w:w="1009" w:type="dxa"/>
            <w:tcBorders>
              <w:top w:val="nil"/>
              <w:bottom w:val="single" w:color="000000" w:sz="16" w:space="0"/>
            </w:tcBorders>
            <w:shd w:val="clear" w:color="auto" w:fill="FFFFFF"/>
          </w:tcPr>
          <w:p w14:paraId="18D528C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p>
        </w:tc>
        <w:tc>
          <w:tcPr>
            <w:tcW w:w="1376" w:type="dxa"/>
            <w:tcBorders>
              <w:top w:val="nil"/>
              <w:bottom w:val="single" w:color="000000" w:sz="16" w:space="0"/>
            </w:tcBorders>
            <w:shd w:val="clear" w:color="auto" w:fill="FFFFFF"/>
          </w:tcPr>
          <w:p w14:paraId="61741B08">
            <w:pPr>
              <w:autoSpaceDE w:val="0"/>
              <w:autoSpaceDN w:val="0"/>
              <w:adjustRightInd w:val="0"/>
              <w:spacing w:after="0" w:line="240" w:lineRule="auto"/>
              <w:jc w:val="center"/>
              <w:rPr>
                <w:rFonts w:cs="Times New Roman"/>
                <w:szCs w:val="24"/>
                <w:highlight w:val="none"/>
                <w:lang w:val="en-US"/>
              </w:rPr>
            </w:pPr>
          </w:p>
        </w:tc>
        <w:tc>
          <w:tcPr>
            <w:tcW w:w="1468" w:type="dxa"/>
            <w:tcBorders>
              <w:top w:val="nil"/>
              <w:bottom w:val="single" w:color="000000" w:sz="16" w:space="0"/>
              <w:right w:val="single" w:color="000000" w:sz="16" w:space="0"/>
            </w:tcBorders>
            <w:shd w:val="clear" w:color="auto" w:fill="FFFFFF"/>
          </w:tcPr>
          <w:p w14:paraId="7FEAAC35">
            <w:pPr>
              <w:autoSpaceDE w:val="0"/>
              <w:autoSpaceDN w:val="0"/>
              <w:adjustRightInd w:val="0"/>
              <w:spacing w:after="0" w:line="240" w:lineRule="auto"/>
              <w:jc w:val="center"/>
              <w:rPr>
                <w:rFonts w:cs="Times New Roman"/>
                <w:szCs w:val="24"/>
                <w:highlight w:val="none"/>
                <w:lang w:val="en-US"/>
              </w:rPr>
            </w:pPr>
          </w:p>
        </w:tc>
      </w:tr>
    </w:tbl>
    <w:p w14:paraId="1DAC1C05">
      <w:pPr>
        <w:autoSpaceDE w:val="0"/>
        <w:autoSpaceDN w:val="0"/>
        <w:adjustRightInd w:val="0"/>
        <w:spacing w:after="0" w:line="400" w:lineRule="atLeast"/>
        <w:jc w:val="center"/>
        <w:rPr>
          <w:rFonts w:cs="Times New Roman"/>
          <w:szCs w:val="24"/>
          <w:highlight w:val="none"/>
          <w:lang w:val="en-US"/>
        </w:rPr>
      </w:pPr>
    </w:p>
    <w:p w14:paraId="2E81A672">
      <w:pPr>
        <w:autoSpaceDE w:val="0"/>
        <w:autoSpaceDN w:val="0"/>
        <w:adjustRightInd w:val="0"/>
        <w:spacing w:after="0" w:line="240" w:lineRule="auto"/>
        <w:jc w:val="center"/>
        <w:rPr>
          <w:rFonts w:cs="Times New Roman"/>
          <w:szCs w:val="24"/>
          <w:highlight w:val="none"/>
          <w:lang w:val="en-US"/>
        </w:rPr>
      </w:pPr>
    </w:p>
    <w:tbl>
      <w:tblPr>
        <w:tblStyle w:val="12"/>
        <w:tblW w:w="767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33"/>
        <w:gridCol w:w="1744"/>
        <w:gridCol w:w="1147"/>
        <w:gridCol w:w="1009"/>
        <w:gridCol w:w="1377"/>
        <w:gridCol w:w="1469"/>
      </w:tblGrid>
      <w:tr w14:paraId="7A7E7F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679" w:type="dxa"/>
            <w:gridSpan w:val="6"/>
            <w:tcBorders>
              <w:top w:val="nil"/>
              <w:left w:val="nil"/>
              <w:bottom w:val="nil"/>
              <w:right w:val="nil"/>
            </w:tcBorders>
            <w:shd w:val="clear" w:color="auto" w:fill="FFFFFF"/>
          </w:tcPr>
          <w:p w14:paraId="581B9D4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b/>
                <w:bCs/>
                <w:color w:val="000000"/>
                <w:sz w:val="18"/>
                <w:szCs w:val="18"/>
                <w:highlight w:val="none"/>
                <w:lang w:val="en-US"/>
              </w:rPr>
              <w:t>Q11.</w:t>
            </w:r>
          </w:p>
        </w:tc>
      </w:tr>
      <w:tr w14:paraId="51832F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677" w:type="dxa"/>
            <w:gridSpan w:val="2"/>
            <w:tcBorders>
              <w:top w:val="single" w:color="000000" w:sz="16" w:space="0"/>
              <w:left w:val="single" w:color="000000" w:sz="16" w:space="0"/>
              <w:bottom w:val="single" w:color="000000" w:sz="16" w:space="0"/>
              <w:right w:val="nil"/>
            </w:tcBorders>
            <w:shd w:val="clear" w:color="auto" w:fill="FFFFFF"/>
          </w:tcPr>
          <w:p w14:paraId="6E8633C8">
            <w:pPr>
              <w:autoSpaceDE w:val="0"/>
              <w:autoSpaceDN w:val="0"/>
              <w:adjustRightInd w:val="0"/>
              <w:spacing w:after="0" w:line="240" w:lineRule="auto"/>
              <w:jc w:val="center"/>
              <w:rPr>
                <w:rFonts w:cs="Times New Roman"/>
                <w:szCs w:val="24"/>
                <w:highlight w:val="none"/>
                <w:lang w:val="en-US"/>
              </w:rPr>
            </w:pPr>
          </w:p>
        </w:tc>
        <w:tc>
          <w:tcPr>
            <w:tcW w:w="1147" w:type="dxa"/>
            <w:tcBorders>
              <w:top w:val="single" w:color="000000" w:sz="16" w:space="0"/>
              <w:left w:val="single" w:color="000000" w:sz="16" w:space="0"/>
              <w:bottom w:val="single" w:color="000000" w:sz="16" w:space="0"/>
            </w:tcBorders>
            <w:shd w:val="clear" w:color="auto" w:fill="FFFFFF"/>
          </w:tcPr>
          <w:p w14:paraId="1666598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Frequency</w:t>
            </w:r>
          </w:p>
        </w:tc>
        <w:tc>
          <w:tcPr>
            <w:tcW w:w="1009" w:type="dxa"/>
            <w:tcBorders>
              <w:top w:val="single" w:color="000000" w:sz="16" w:space="0"/>
              <w:bottom w:val="single" w:color="000000" w:sz="16" w:space="0"/>
            </w:tcBorders>
            <w:shd w:val="clear" w:color="auto" w:fill="FFFFFF"/>
          </w:tcPr>
          <w:p w14:paraId="37167FB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Percent</w:t>
            </w:r>
          </w:p>
        </w:tc>
        <w:tc>
          <w:tcPr>
            <w:tcW w:w="1377" w:type="dxa"/>
            <w:tcBorders>
              <w:top w:val="single" w:color="000000" w:sz="16" w:space="0"/>
              <w:bottom w:val="single" w:color="000000" w:sz="16" w:space="0"/>
            </w:tcBorders>
            <w:shd w:val="clear" w:color="auto" w:fill="FFFFFF"/>
          </w:tcPr>
          <w:p w14:paraId="34D847B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Valid Percent</w:t>
            </w:r>
          </w:p>
        </w:tc>
        <w:tc>
          <w:tcPr>
            <w:tcW w:w="1469" w:type="dxa"/>
            <w:tcBorders>
              <w:top w:val="single" w:color="000000" w:sz="16" w:space="0"/>
              <w:bottom w:val="single" w:color="000000" w:sz="16" w:space="0"/>
              <w:right w:val="single" w:color="000000" w:sz="16" w:space="0"/>
            </w:tcBorders>
            <w:shd w:val="clear" w:color="auto" w:fill="FFFFFF"/>
          </w:tcPr>
          <w:p w14:paraId="5492AEC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Cumulative Percent</w:t>
            </w:r>
          </w:p>
        </w:tc>
      </w:tr>
      <w:tr w14:paraId="5A93BB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vMerge w:val="restart"/>
            <w:tcBorders>
              <w:top w:val="single" w:color="000000" w:sz="16" w:space="0"/>
              <w:left w:val="single" w:color="000000" w:sz="16" w:space="0"/>
              <w:bottom w:val="nil"/>
              <w:right w:val="nil"/>
            </w:tcBorders>
            <w:shd w:val="clear" w:color="auto" w:fill="FFFFFF"/>
            <w:vAlign w:val="center"/>
          </w:tcPr>
          <w:p w14:paraId="6EE226D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Valid</w:t>
            </w:r>
          </w:p>
        </w:tc>
        <w:tc>
          <w:tcPr>
            <w:tcW w:w="1744" w:type="dxa"/>
            <w:tcBorders>
              <w:top w:val="single" w:color="000000" w:sz="16" w:space="0"/>
              <w:left w:val="nil"/>
              <w:bottom w:val="nil"/>
              <w:right w:val="single" w:color="000000" w:sz="16" w:space="0"/>
            </w:tcBorders>
            <w:shd w:val="clear" w:color="auto" w:fill="FFFFFF"/>
            <w:vAlign w:val="center"/>
          </w:tcPr>
          <w:p w14:paraId="3DE0C72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Strongly disagree</w:t>
            </w:r>
          </w:p>
        </w:tc>
        <w:tc>
          <w:tcPr>
            <w:tcW w:w="1147" w:type="dxa"/>
            <w:tcBorders>
              <w:top w:val="single" w:color="000000" w:sz="16" w:space="0"/>
              <w:left w:val="single" w:color="000000" w:sz="16" w:space="0"/>
              <w:bottom w:val="nil"/>
            </w:tcBorders>
            <w:shd w:val="clear" w:color="auto" w:fill="FFFFFF"/>
          </w:tcPr>
          <w:p w14:paraId="3D3F9F6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128</w:t>
            </w:r>
          </w:p>
        </w:tc>
        <w:tc>
          <w:tcPr>
            <w:tcW w:w="1009" w:type="dxa"/>
            <w:tcBorders>
              <w:top w:val="single" w:color="000000" w:sz="16" w:space="0"/>
              <w:bottom w:val="nil"/>
            </w:tcBorders>
            <w:shd w:val="clear" w:color="auto" w:fill="FFFFFF"/>
          </w:tcPr>
          <w:p w14:paraId="6576F13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44.4</w:t>
            </w:r>
          </w:p>
        </w:tc>
        <w:tc>
          <w:tcPr>
            <w:tcW w:w="1377" w:type="dxa"/>
            <w:tcBorders>
              <w:top w:val="single" w:color="000000" w:sz="16" w:space="0"/>
              <w:bottom w:val="nil"/>
            </w:tcBorders>
            <w:shd w:val="clear" w:color="auto" w:fill="FFFFFF"/>
          </w:tcPr>
          <w:p w14:paraId="2865C26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45.4</w:t>
            </w:r>
          </w:p>
        </w:tc>
        <w:tc>
          <w:tcPr>
            <w:tcW w:w="1469" w:type="dxa"/>
            <w:tcBorders>
              <w:top w:val="single" w:color="000000" w:sz="16" w:space="0"/>
              <w:bottom w:val="nil"/>
              <w:right w:val="single" w:color="000000" w:sz="16" w:space="0"/>
            </w:tcBorders>
            <w:shd w:val="clear" w:color="auto" w:fill="FFFFFF"/>
          </w:tcPr>
          <w:p w14:paraId="2802CA9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45.4</w:t>
            </w:r>
          </w:p>
        </w:tc>
      </w:tr>
      <w:tr w14:paraId="7F7804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vMerge w:val="continue"/>
            <w:tcBorders>
              <w:top w:val="single" w:color="000000" w:sz="16" w:space="0"/>
              <w:left w:val="single" w:color="000000" w:sz="16" w:space="0"/>
              <w:bottom w:val="nil"/>
              <w:right w:val="nil"/>
            </w:tcBorders>
            <w:shd w:val="clear" w:color="auto" w:fill="FFFFFF"/>
            <w:vAlign w:val="center"/>
          </w:tcPr>
          <w:p w14:paraId="00B6ADA9">
            <w:pPr>
              <w:autoSpaceDE w:val="0"/>
              <w:autoSpaceDN w:val="0"/>
              <w:adjustRightInd w:val="0"/>
              <w:spacing w:after="0" w:line="240" w:lineRule="auto"/>
              <w:jc w:val="center"/>
              <w:rPr>
                <w:rFonts w:ascii="Arial" w:hAnsi="Arial" w:cs="Arial"/>
                <w:color w:val="000000"/>
                <w:sz w:val="18"/>
                <w:szCs w:val="18"/>
                <w:highlight w:val="none"/>
                <w:lang w:val="en-US"/>
              </w:rPr>
            </w:pPr>
          </w:p>
        </w:tc>
        <w:tc>
          <w:tcPr>
            <w:tcW w:w="1744" w:type="dxa"/>
            <w:tcBorders>
              <w:top w:val="nil"/>
              <w:left w:val="nil"/>
              <w:bottom w:val="nil"/>
              <w:right w:val="single" w:color="000000" w:sz="16" w:space="0"/>
            </w:tcBorders>
            <w:shd w:val="clear" w:color="auto" w:fill="FFFFFF"/>
            <w:vAlign w:val="center"/>
          </w:tcPr>
          <w:p w14:paraId="6BC7D3D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Agree</w:t>
            </w:r>
          </w:p>
        </w:tc>
        <w:tc>
          <w:tcPr>
            <w:tcW w:w="1147" w:type="dxa"/>
            <w:tcBorders>
              <w:top w:val="nil"/>
              <w:left w:val="single" w:color="000000" w:sz="16" w:space="0"/>
              <w:bottom w:val="nil"/>
            </w:tcBorders>
            <w:shd w:val="clear" w:color="auto" w:fill="FFFFFF"/>
          </w:tcPr>
          <w:p w14:paraId="397EC77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154</w:t>
            </w:r>
          </w:p>
        </w:tc>
        <w:tc>
          <w:tcPr>
            <w:tcW w:w="1009" w:type="dxa"/>
            <w:tcBorders>
              <w:top w:val="nil"/>
              <w:bottom w:val="nil"/>
            </w:tcBorders>
            <w:shd w:val="clear" w:color="auto" w:fill="FFFFFF"/>
          </w:tcPr>
          <w:p w14:paraId="6BD5BFD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53.5</w:t>
            </w:r>
          </w:p>
        </w:tc>
        <w:tc>
          <w:tcPr>
            <w:tcW w:w="1377" w:type="dxa"/>
            <w:tcBorders>
              <w:top w:val="nil"/>
              <w:bottom w:val="nil"/>
            </w:tcBorders>
            <w:shd w:val="clear" w:color="auto" w:fill="FFFFFF"/>
          </w:tcPr>
          <w:p w14:paraId="7464F70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54.6</w:t>
            </w:r>
          </w:p>
        </w:tc>
        <w:tc>
          <w:tcPr>
            <w:tcW w:w="1469" w:type="dxa"/>
            <w:tcBorders>
              <w:top w:val="nil"/>
              <w:bottom w:val="nil"/>
              <w:right w:val="single" w:color="000000" w:sz="16" w:space="0"/>
            </w:tcBorders>
            <w:shd w:val="clear" w:color="auto" w:fill="FFFFFF"/>
          </w:tcPr>
          <w:p w14:paraId="657982C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p>
        </w:tc>
      </w:tr>
      <w:tr w14:paraId="2B9ACB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vMerge w:val="continue"/>
            <w:tcBorders>
              <w:top w:val="single" w:color="000000" w:sz="16" w:space="0"/>
              <w:left w:val="single" w:color="000000" w:sz="16" w:space="0"/>
              <w:bottom w:val="nil"/>
              <w:right w:val="nil"/>
            </w:tcBorders>
            <w:shd w:val="clear" w:color="auto" w:fill="FFFFFF"/>
            <w:vAlign w:val="center"/>
          </w:tcPr>
          <w:p w14:paraId="756B3135">
            <w:pPr>
              <w:autoSpaceDE w:val="0"/>
              <w:autoSpaceDN w:val="0"/>
              <w:adjustRightInd w:val="0"/>
              <w:spacing w:after="0" w:line="240" w:lineRule="auto"/>
              <w:jc w:val="center"/>
              <w:rPr>
                <w:rFonts w:ascii="Arial" w:hAnsi="Arial" w:cs="Arial"/>
                <w:color w:val="000000"/>
                <w:sz w:val="18"/>
                <w:szCs w:val="18"/>
                <w:highlight w:val="none"/>
                <w:lang w:val="en-US"/>
              </w:rPr>
            </w:pPr>
          </w:p>
        </w:tc>
        <w:tc>
          <w:tcPr>
            <w:tcW w:w="1744" w:type="dxa"/>
            <w:tcBorders>
              <w:top w:val="nil"/>
              <w:left w:val="nil"/>
              <w:bottom w:val="nil"/>
              <w:right w:val="single" w:color="000000" w:sz="16" w:space="0"/>
            </w:tcBorders>
            <w:shd w:val="clear" w:color="auto" w:fill="FFFFFF"/>
            <w:vAlign w:val="center"/>
          </w:tcPr>
          <w:p w14:paraId="6D4DF96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Total</w:t>
            </w:r>
          </w:p>
        </w:tc>
        <w:tc>
          <w:tcPr>
            <w:tcW w:w="1147" w:type="dxa"/>
            <w:tcBorders>
              <w:top w:val="nil"/>
              <w:left w:val="single" w:color="000000" w:sz="16" w:space="0"/>
              <w:bottom w:val="nil"/>
            </w:tcBorders>
            <w:shd w:val="clear" w:color="auto" w:fill="FFFFFF"/>
          </w:tcPr>
          <w:p w14:paraId="2649422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1009" w:type="dxa"/>
            <w:tcBorders>
              <w:top w:val="nil"/>
              <w:bottom w:val="nil"/>
            </w:tcBorders>
            <w:shd w:val="clear" w:color="auto" w:fill="FFFFFF"/>
          </w:tcPr>
          <w:p w14:paraId="1FF03C6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97.9</w:t>
            </w:r>
          </w:p>
        </w:tc>
        <w:tc>
          <w:tcPr>
            <w:tcW w:w="1377" w:type="dxa"/>
            <w:tcBorders>
              <w:top w:val="nil"/>
              <w:bottom w:val="nil"/>
            </w:tcBorders>
            <w:shd w:val="clear" w:color="auto" w:fill="FFFFFF"/>
          </w:tcPr>
          <w:p w14:paraId="147E82F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p>
        </w:tc>
        <w:tc>
          <w:tcPr>
            <w:tcW w:w="1469" w:type="dxa"/>
            <w:tcBorders>
              <w:top w:val="nil"/>
              <w:bottom w:val="nil"/>
              <w:right w:val="single" w:color="000000" w:sz="16" w:space="0"/>
            </w:tcBorders>
            <w:shd w:val="clear" w:color="auto" w:fill="FFFFFF"/>
          </w:tcPr>
          <w:p w14:paraId="5D01A262">
            <w:pPr>
              <w:autoSpaceDE w:val="0"/>
              <w:autoSpaceDN w:val="0"/>
              <w:adjustRightInd w:val="0"/>
              <w:spacing w:after="0" w:line="240" w:lineRule="auto"/>
              <w:jc w:val="center"/>
              <w:rPr>
                <w:rFonts w:cs="Times New Roman"/>
                <w:szCs w:val="24"/>
                <w:highlight w:val="none"/>
                <w:lang w:val="en-US"/>
              </w:rPr>
            </w:pPr>
          </w:p>
        </w:tc>
      </w:tr>
      <w:tr w14:paraId="42CAA1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tcBorders>
              <w:top w:val="nil"/>
              <w:left w:val="single" w:color="000000" w:sz="16" w:space="0"/>
              <w:bottom w:val="nil"/>
              <w:right w:val="nil"/>
            </w:tcBorders>
            <w:shd w:val="clear" w:color="auto" w:fill="FFFFFF"/>
            <w:vAlign w:val="center"/>
          </w:tcPr>
          <w:p w14:paraId="5577E43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Missing</w:t>
            </w:r>
          </w:p>
        </w:tc>
        <w:tc>
          <w:tcPr>
            <w:tcW w:w="1744" w:type="dxa"/>
            <w:tcBorders>
              <w:top w:val="nil"/>
              <w:left w:val="nil"/>
              <w:bottom w:val="nil"/>
              <w:right w:val="single" w:color="000000" w:sz="16" w:space="0"/>
            </w:tcBorders>
            <w:shd w:val="clear" w:color="auto" w:fill="FFFFFF"/>
            <w:vAlign w:val="center"/>
          </w:tcPr>
          <w:p w14:paraId="5E8365C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System</w:t>
            </w:r>
          </w:p>
        </w:tc>
        <w:tc>
          <w:tcPr>
            <w:tcW w:w="1147" w:type="dxa"/>
            <w:tcBorders>
              <w:top w:val="nil"/>
              <w:left w:val="single" w:color="000000" w:sz="16" w:space="0"/>
              <w:bottom w:val="nil"/>
            </w:tcBorders>
            <w:shd w:val="clear" w:color="auto" w:fill="FFFFFF"/>
          </w:tcPr>
          <w:p w14:paraId="1B6DCE6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6</w:t>
            </w:r>
          </w:p>
        </w:tc>
        <w:tc>
          <w:tcPr>
            <w:tcW w:w="1009" w:type="dxa"/>
            <w:tcBorders>
              <w:top w:val="nil"/>
              <w:bottom w:val="nil"/>
            </w:tcBorders>
            <w:shd w:val="clear" w:color="auto" w:fill="FFFFFF"/>
          </w:tcPr>
          <w:p w14:paraId="46125CE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2.1</w:t>
            </w:r>
          </w:p>
        </w:tc>
        <w:tc>
          <w:tcPr>
            <w:tcW w:w="1377" w:type="dxa"/>
            <w:tcBorders>
              <w:top w:val="nil"/>
              <w:bottom w:val="nil"/>
            </w:tcBorders>
            <w:shd w:val="clear" w:color="auto" w:fill="FFFFFF"/>
          </w:tcPr>
          <w:p w14:paraId="1A795F27">
            <w:pPr>
              <w:autoSpaceDE w:val="0"/>
              <w:autoSpaceDN w:val="0"/>
              <w:adjustRightInd w:val="0"/>
              <w:spacing w:after="0" w:line="240" w:lineRule="auto"/>
              <w:jc w:val="center"/>
              <w:rPr>
                <w:rFonts w:cs="Times New Roman"/>
                <w:szCs w:val="24"/>
                <w:highlight w:val="none"/>
                <w:lang w:val="en-US"/>
              </w:rPr>
            </w:pPr>
          </w:p>
        </w:tc>
        <w:tc>
          <w:tcPr>
            <w:tcW w:w="1469" w:type="dxa"/>
            <w:tcBorders>
              <w:top w:val="nil"/>
              <w:bottom w:val="nil"/>
              <w:right w:val="single" w:color="000000" w:sz="16" w:space="0"/>
            </w:tcBorders>
            <w:shd w:val="clear" w:color="auto" w:fill="FFFFFF"/>
          </w:tcPr>
          <w:p w14:paraId="702B0272">
            <w:pPr>
              <w:autoSpaceDE w:val="0"/>
              <w:autoSpaceDN w:val="0"/>
              <w:adjustRightInd w:val="0"/>
              <w:spacing w:after="0" w:line="240" w:lineRule="auto"/>
              <w:jc w:val="center"/>
              <w:rPr>
                <w:rFonts w:cs="Times New Roman"/>
                <w:szCs w:val="24"/>
                <w:highlight w:val="none"/>
                <w:lang w:val="en-US"/>
              </w:rPr>
            </w:pPr>
          </w:p>
        </w:tc>
      </w:tr>
      <w:tr w14:paraId="01EC10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677" w:type="dxa"/>
            <w:gridSpan w:val="2"/>
            <w:tcBorders>
              <w:top w:val="nil"/>
              <w:left w:val="single" w:color="000000" w:sz="16" w:space="0"/>
              <w:bottom w:val="single" w:color="000000" w:sz="16" w:space="0"/>
              <w:right w:val="nil"/>
            </w:tcBorders>
            <w:shd w:val="clear" w:color="auto" w:fill="FFFFFF"/>
            <w:vAlign w:val="center"/>
          </w:tcPr>
          <w:p w14:paraId="4C66AF6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Total</w:t>
            </w:r>
          </w:p>
        </w:tc>
        <w:tc>
          <w:tcPr>
            <w:tcW w:w="1147" w:type="dxa"/>
            <w:tcBorders>
              <w:top w:val="nil"/>
              <w:left w:val="single" w:color="000000" w:sz="16" w:space="0"/>
              <w:bottom w:val="single" w:color="000000" w:sz="16" w:space="0"/>
            </w:tcBorders>
            <w:shd w:val="clear" w:color="auto" w:fill="FFFFFF"/>
          </w:tcPr>
          <w:p w14:paraId="6B3CFF9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288</w:t>
            </w:r>
          </w:p>
        </w:tc>
        <w:tc>
          <w:tcPr>
            <w:tcW w:w="1009" w:type="dxa"/>
            <w:tcBorders>
              <w:top w:val="nil"/>
              <w:bottom w:val="single" w:color="000000" w:sz="16" w:space="0"/>
            </w:tcBorders>
            <w:shd w:val="clear" w:color="auto" w:fill="FFFFFF"/>
          </w:tcPr>
          <w:p w14:paraId="1125F41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p>
        </w:tc>
        <w:tc>
          <w:tcPr>
            <w:tcW w:w="1377" w:type="dxa"/>
            <w:tcBorders>
              <w:top w:val="nil"/>
              <w:bottom w:val="single" w:color="000000" w:sz="16" w:space="0"/>
            </w:tcBorders>
            <w:shd w:val="clear" w:color="auto" w:fill="FFFFFF"/>
          </w:tcPr>
          <w:p w14:paraId="402D91E7">
            <w:pPr>
              <w:autoSpaceDE w:val="0"/>
              <w:autoSpaceDN w:val="0"/>
              <w:adjustRightInd w:val="0"/>
              <w:spacing w:after="0" w:line="240" w:lineRule="auto"/>
              <w:jc w:val="center"/>
              <w:rPr>
                <w:rFonts w:cs="Times New Roman"/>
                <w:szCs w:val="24"/>
                <w:highlight w:val="none"/>
                <w:lang w:val="en-US"/>
              </w:rPr>
            </w:pPr>
          </w:p>
        </w:tc>
        <w:tc>
          <w:tcPr>
            <w:tcW w:w="1469" w:type="dxa"/>
            <w:tcBorders>
              <w:top w:val="nil"/>
              <w:bottom w:val="single" w:color="000000" w:sz="16" w:space="0"/>
              <w:right w:val="single" w:color="000000" w:sz="16" w:space="0"/>
            </w:tcBorders>
            <w:shd w:val="clear" w:color="auto" w:fill="FFFFFF"/>
          </w:tcPr>
          <w:p w14:paraId="701E8D3B">
            <w:pPr>
              <w:autoSpaceDE w:val="0"/>
              <w:autoSpaceDN w:val="0"/>
              <w:adjustRightInd w:val="0"/>
              <w:spacing w:after="0" w:line="240" w:lineRule="auto"/>
              <w:jc w:val="center"/>
              <w:rPr>
                <w:rFonts w:cs="Times New Roman"/>
                <w:szCs w:val="24"/>
                <w:highlight w:val="none"/>
                <w:lang w:val="en-US"/>
              </w:rPr>
            </w:pPr>
          </w:p>
        </w:tc>
      </w:tr>
    </w:tbl>
    <w:p w14:paraId="79697F69">
      <w:pPr>
        <w:adjustRightInd w:val="0"/>
        <w:jc w:val="center"/>
        <w:rPr>
          <w:rFonts w:cs="Times New Roman"/>
          <w:szCs w:val="24"/>
          <w:highlight w:val="none"/>
          <w:lang w:val="en-US"/>
        </w:rPr>
      </w:pPr>
    </w:p>
    <w:p w14:paraId="1B7D8B64">
      <w:pPr>
        <w:autoSpaceDE w:val="0"/>
        <w:autoSpaceDN w:val="0"/>
        <w:adjustRightInd w:val="0"/>
        <w:spacing w:after="0" w:line="240" w:lineRule="auto"/>
        <w:jc w:val="center"/>
        <w:rPr>
          <w:rFonts w:cs="Times New Roman"/>
          <w:szCs w:val="24"/>
          <w:highlight w:val="none"/>
          <w:lang w:val="en-US"/>
        </w:rPr>
      </w:pPr>
    </w:p>
    <w:tbl>
      <w:tblPr>
        <w:tblStyle w:val="12"/>
        <w:tblW w:w="722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4"/>
        <w:gridCol w:w="1484"/>
        <w:gridCol w:w="1147"/>
        <w:gridCol w:w="1009"/>
        <w:gridCol w:w="1377"/>
        <w:gridCol w:w="1469"/>
      </w:tblGrid>
      <w:tr w14:paraId="50E793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217" w:type="dxa"/>
            <w:gridSpan w:val="6"/>
            <w:tcBorders>
              <w:top w:val="nil"/>
              <w:left w:val="nil"/>
              <w:bottom w:val="nil"/>
              <w:right w:val="nil"/>
            </w:tcBorders>
            <w:shd w:val="clear" w:color="auto" w:fill="FFFFFF"/>
          </w:tcPr>
          <w:p w14:paraId="4D68363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b/>
                <w:bCs/>
                <w:color w:val="000000"/>
                <w:sz w:val="18"/>
                <w:szCs w:val="18"/>
                <w:highlight w:val="none"/>
                <w:lang w:val="en-US"/>
              </w:rPr>
              <w:t>Q12.</w:t>
            </w:r>
          </w:p>
        </w:tc>
      </w:tr>
      <w:tr w14:paraId="5FCBB9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217" w:type="dxa"/>
            <w:gridSpan w:val="2"/>
            <w:tcBorders>
              <w:top w:val="single" w:color="000000" w:sz="16" w:space="0"/>
              <w:left w:val="single" w:color="000000" w:sz="16" w:space="0"/>
              <w:bottom w:val="single" w:color="000000" w:sz="16" w:space="0"/>
              <w:right w:val="nil"/>
            </w:tcBorders>
            <w:shd w:val="clear" w:color="auto" w:fill="FFFFFF"/>
          </w:tcPr>
          <w:p w14:paraId="50625EEB">
            <w:pPr>
              <w:autoSpaceDE w:val="0"/>
              <w:autoSpaceDN w:val="0"/>
              <w:adjustRightInd w:val="0"/>
              <w:spacing w:after="0" w:line="240" w:lineRule="auto"/>
              <w:jc w:val="center"/>
              <w:rPr>
                <w:rFonts w:cs="Times New Roman"/>
                <w:szCs w:val="24"/>
                <w:highlight w:val="none"/>
                <w:lang w:val="en-US"/>
              </w:rPr>
            </w:pPr>
          </w:p>
        </w:tc>
        <w:tc>
          <w:tcPr>
            <w:tcW w:w="1147" w:type="dxa"/>
            <w:tcBorders>
              <w:top w:val="single" w:color="000000" w:sz="16" w:space="0"/>
              <w:left w:val="single" w:color="000000" w:sz="16" w:space="0"/>
              <w:bottom w:val="single" w:color="000000" w:sz="16" w:space="0"/>
            </w:tcBorders>
            <w:shd w:val="clear" w:color="auto" w:fill="FFFFFF"/>
          </w:tcPr>
          <w:p w14:paraId="6D03051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Frequency</w:t>
            </w:r>
          </w:p>
        </w:tc>
        <w:tc>
          <w:tcPr>
            <w:tcW w:w="1009" w:type="dxa"/>
            <w:tcBorders>
              <w:top w:val="single" w:color="000000" w:sz="16" w:space="0"/>
              <w:bottom w:val="single" w:color="000000" w:sz="16" w:space="0"/>
            </w:tcBorders>
            <w:shd w:val="clear" w:color="auto" w:fill="FFFFFF"/>
          </w:tcPr>
          <w:p w14:paraId="499BD5C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Percent</w:t>
            </w:r>
          </w:p>
        </w:tc>
        <w:tc>
          <w:tcPr>
            <w:tcW w:w="1376" w:type="dxa"/>
            <w:tcBorders>
              <w:top w:val="single" w:color="000000" w:sz="16" w:space="0"/>
              <w:bottom w:val="single" w:color="000000" w:sz="16" w:space="0"/>
            </w:tcBorders>
            <w:shd w:val="clear" w:color="auto" w:fill="FFFFFF"/>
          </w:tcPr>
          <w:p w14:paraId="219BE0C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Valid Percent</w:t>
            </w:r>
          </w:p>
        </w:tc>
        <w:tc>
          <w:tcPr>
            <w:tcW w:w="1468" w:type="dxa"/>
            <w:tcBorders>
              <w:top w:val="single" w:color="000000" w:sz="16" w:space="0"/>
              <w:bottom w:val="single" w:color="000000" w:sz="16" w:space="0"/>
              <w:right w:val="single" w:color="000000" w:sz="16" w:space="0"/>
            </w:tcBorders>
            <w:shd w:val="clear" w:color="auto" w:fill="FFFFFF"/>
          </w:tcPr>
          <w:p w14:paraId="26A80B7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Cumulative Percent</w:t>
            </w:r>
          </w:p>
        </w:tc>
      </w:tr>
      <w:tr w14:paraId="249FFE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4" w:type="dxa"/>
            <w:vMerge w:val="restart"/>
            <w:tcBorders>
              <w:top w:val="single" w:color="000000" w:sz="16" w:space="0"/>
              <w:left w:val="single" w:color="000000" w:sz="16" w:space="0"/>
              <w:bottom w:val="single" w:color="000000" w:sz="16" w:space="0"/>
              <w:right w:val="nil"/>
            </w:tcBorders>
            <w:shd w:val="clear" w:color="auto" w:fill="FFFFFF"/>
            <w:vAlign w:val="center"/>
          </w:tcPr>
          <w:p w14:paraId="68B32FB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Valid</w:t>
            </w:r>
          </w:p>
        </w:tc>
        <w:tc>
          <w:tcPr>
            <w:tcW w:w="1483" w:type="dxa"/>
            <w:tcBorders>
              <w:top w:val="single" w:color="000000" w:sz="16" w:space="0"/>
              <w:left w:val="nil"/>
              <w:bottom w:val="nil"/>
              <w:right w:val="single" w:color="000000" w:sz="16" w:space="0"/>
            </w:tcBorders>
            <w:shd w:val="clear" w:color="auto" w:fill="FFFFFF"/>
            <w:vAlign w:val="center"/>
          </w:tcPr>
          <w:p w14:paraId="2A0182D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Disagree</w:t>
            </w:r>
          </w:p>
        </w:tc>
        <w:tc>
          <w:tcPr>
            <w:tcW w:w="1147" w:type="dxa"/>
            <w:tcBorders>
              <w:top w:val="single" w:color="000000" w:sz="16" w:space="0"/>
              <w:left w:val="single" w:color="000000" w:sz="16" w:space="0"/>
              <w:bottom w:val="nil"/>
            </w:tcBorders>
            <w:shd w:val="clear" w:color="auto" w:fill="FFFFFF"/>
          </w:tcPr>
          <w:p w14:paraId="5F7137A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127</w:t>
            </w:r>
          </w:p>
        </w:tc>
        <w:tc>
          <w:tcPr>
            <w:tcW w:w="1009" w:type="dxa"/>
            <w:tcBorders>
              <w:top w:val="single" w:color="000000" w:sz="16" w:space="0"/>
              <w:bottom w:val="nil"/>
            </w:tcBorders>
            <w:shd w:val="clear" w:color="auto" w:fill="FFFFFF"/>
          </w:tcPr>
          <w:p w14:paraId="4EEE8D7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44.1</w:t>
            </w:r>
          </w:p>
        </w:tc>
        <w:tc>
          <w:tcPr>
            <w:tcW w:w="1376" w:type="dxa"/>
            <w:tcBorders>
              <w:top w:val="single" w:color="000000" w:sz="16" w:space="0"/>
              <w:bottom w:val="nil"/>
            </w:tcBorders>
            <w:shd w:val="clear" w:color="auto" w:fill="FFFFFF"/>
          </w:tcPr>
          <w:p w14:paraId="6164A79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44.1</w:t>
            </w:r>
          </w:p>
        </w:tc>
        <w:tc>
          <w:tcPr>
            <w:tcW w:w="1468" w:type="dxa"/>
            <w:tcBorders>
              <w:top w:val="single" w:color="000000" w:sz="16" w:space="0"/>
              <w:bottom w:val="nil"/>
              <w:right w:val="single" w:color="000000" w:sz="16" w:space="0"/>
            </w:tcBorders>
            <w:shd w:val="clear" w:color="auto" w:fill="FFFFFF"/>
          </w:tcPr>
          <w:p w14:paraId="5095457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44.1</w:t>
            </w:r>
          </w:p>
        </w:tc>
      </w:tr>
      <w:tr w14:paraId="661B0A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4" w:type="dxa"/>
            <w:vMerge w:val="continue"/>
            <w:tcBorders>
              <w:top w:val="single" w:color="000000" w:sz="16" w:space="0"/>
              <w:left w:val="single" w:color="000000" w:sz="16" w:space="0"/>
              <w:bottom w:val="single" w:color="000000" w:sz="16" w:space="0"/>
              <w:right w:val="nil"/>
            </w:tcBorders>
            <w:shd w:val="clear" w:color="auto" w:fill="FFFFFF"/>
            <w:vAlign w:val="center"/>
          </w:tcPr>
          <w:p w14:paraId="22CF1D93">
            <w:pPr>
              <w:autoSpaceDE w:val="0"/>
              <w:autoSpaceDN w:val="0"/>
              <w:adjustRightInd w:val="0"/>
              <w:spacing w:after="0" w:line="240" w:lineRule="auto"/>
              <w:jc w:val="center"/>
              <w:rPr>
                <w:rFonts w:ascii="Arial" w:hAnsi="Arial" w:cs="Arial"/>
                <w:color w:val="000000"/>
                <w:sz w:val="18"/>
                <w:szCs w:val="18"/>
                <w:highlight w:val="none"/>
                <w:lang w:val="en-US"/>
              </w:rPr>
            </w:pPr>
          </w:p>
        </w:tc>
        <w:tc>
          <w:tcPr>
            <w:tcW w:w="1483" w:type="dxa"/>
            <w:tcBorders>
              <w:top w:val="nil"/>
              <w:left w:val="nil"/>
              <w:bottom w:val="nil"/>
              <w:right w:val="single" w:color="000000" w:sz="16" w:space="0"/>
            </w:tcBorders>
            <w:shd w:val="clear" w:color="auto" w:fill="FFFFFF"/>
            <w:vAlign w:val="center"/>
          </w:tcPr>
          <w:p w14:paraId="6591106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Agree</w:t>
            </w:r>
          </w:p>
        </w:tc>
        <w:tc>
          <w:tcPr>
            <w:tcW w:w="1147" w:type="dxa"/>
            <w:tcBorders>
              <w:top w:val="nil"/>
              <w:left w:val="single" w:color="000000" w:sz="16" w:space="0"/>
              <w:bottom w:val="nil"/>
            </w:tcBorders>
            <w:shd w:val="clear" w:color="auto" w:fill="FFFFFF"/>
          </w:tcPr>
          <w:p w14:paraId="26A6082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4</w:t>
            </w:r>
          </w:p>
        </w:tc>
        <w:tc>
          <w:tcPr>
            <w:tcW w:w="1009" w:type="dxa"/>
            <w:tcBorders>
              <w:top w:val="nil"/>
              <w:bottom w:val="nil"/>
            </w:tcBorders>
            <w:shd w:val="clear" w:color="auto" w:fill="FFFFFF"/>
          </w:tcPr>
          <w:p w14:paraId="52F0C5D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1.4</w:t>
            </w:r>
          </w:p>
        </w:tc>
        <w:tc>
          <w:tcPr>
            <w:tcW w:w="1376" w:type="dxa"/>
            <w:tcBorders>
              <w:top w:val="nil"/>
              <w:bottom w:val="nil"/>
            </w:tcBorders>
            <w:shd w:val="clear" w:color="auto" w:fill="FFFFFF"/>
          </w:tcPr>
          <w:p w14:paraId="08BAB5A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1.4</w:t>
            </w:r>
          </w:p>
        </w:tc>
        <w:tc>
          <w:tcPr>
            <w:tcW w:w="1468" w:type="dxa"/>
            <w:tcBorders>
              <w:top w:val="nil"/>
              <w:bottom w:val="nil"/>
              <w:right w:val="single" w:color="000000" w:sz="16" w:space="0"/>
            </w:tcBorders>
            <w:shd w:val="clear" w:color="auto" w:fill="FFFFFF"/>
          </w:tcPr>
          <w:p w14:paraId="67D1980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45.5</w:t>
            </w:r>
          </w:p>
        </w:tc>
      </w:tr>
      <w:tr w14:paraId="76640D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4" w:type="dxa"/>
            <w:vMerge w:val="continue"/>
            <w:tcBorders>
              <w:top w:val="single" w:color="000000" w:sz="16" w:space="0"/>
              <w:left w:val="single" w:color="000000" w:sz="16" w:space="0"/>
              <w:bottom w:val="single" w:color="000000" w:sz="16" w:space="0"/>
              <w:right w:val="nil"/>
            </w:tcBorders>
            <w:shd w:val="clear" w:color="auto" w:fill="FFFFFF"/>
            <w:vAlign w:val="center"/>
          </w:tcPr>
          <w:p w14:paraId="17394B25">
            <w:pPr>
              <w:autoSpaceDE w:val="0"/>
              <w:autoSpaceDN w:val="0"/>
              <w:adjustRightInd w:val="0"/>
              <w:spacing w:after="0" w:line="240" w:lineRule="auto"/>
              <w:jc w:val="center"/>
              <w:rPr>
                <w:rFonts w:ascii="Arial" w:hAnsi="Arial" w:cs="Arial"/>
                <w:color w:val="000000"/>
                <w:sz w:val="18"/>
                <w:szCs w:val="18"/>
                <w:highlight w:val="none"/>
                <w:lang w:val="en-US"/>
              </w:rPr>
            </w:pPr>
          </w:p>
        </w:tc>
        <w:tc>
          <w:tcPr>
            <w:tcW w:w="1483" w:type="dxa"/>
            <w:tcBorders>
              <w:top w:val="nil"/>
              <w:left w:val="nil"/>
              <w:bottom w:val="nil"/>
              <w:right w:val="single" w:color="000000" w:sz="16" w:space="0"/>
            </w:tcBorders>
            <w:shd w:val="clear" w:color="auto" w:fill="FFFFFF"/>
            <w:vAlign w:val="center"/>
          </w:tcPr>
          <w:p w14:paraId="59DF2CD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Strongly agree</w:t>
            </w:r>
          </w:p>
        </w:tc>
        <w:tc>
          <w:tcPr>
            <w:tcW w:w="1147" w:type="dxa"/>
            <w:tcBorders>
              <w:top w:val="nil"/>
              <w:left w:val="single" w:color="000000" w:sz="16" w:space="0"/>
              <w:bottom w:val="nil"/>
            </w:tcBorders>
            <w:shd w:val="clear" w:color="auto" w:fill="FFFFFF"/>
          </w:tcPr>
          <w:p w14:paraId="364B0F5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157</w:t>
            </w:r>
          </w:p>
        </w:tc>
        <w:tc>
          <w:tcPr>
            <w:tcW w:w="1009" w:type="dxa"/>
            <w:tcBorders>
              <w:top w:val="nil"/>
              <w:bottom w:val="nil"/>
            </w:tcBorders>
            <w:shd w:val="clear" w:color="auto" w:fill="FFFFFF"/>
          </w:tcPr>
          <w:p w14:paraId="5F5F505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54.5</w:t>
            </w:r>
          </w:p>
        </w:tc>
        <w:tc>
          <w:tcPr>
            <w:tcW w:w="1376" w:type="dxa"/>
            <w:tcBorders>
              <w:top w:val="nil"/>
              <w:bottom w:val="nil"/>
            </w:tcBorders>
            <w:shd w:val="clear" w:color="auto" w:fill="FFFFFF"/>
          </w:tcPr>
          <w:p w14:paraId="64D417E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54.5</w:t>
            </w:r>
          </w:p>
        </w:tc>
        <w:tc>
          <w:tcPr>
            <w:tcW w:w="1468" w:type="dxa"/>
            <w:tcBorders>
              <w:top w:val="nil"/>
              <w:bottom w:val="nil"/>
              <w:right w:val="single" w:color="000000" w:sz="16" w:space="0"/>
            </w:tcBorders>
            <w:shd w:val="clear" w:color="auto" w:fill="FFFFFF"/>
          </w:tcPr>
          <w:p w14:paraId="0436457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p>
        </w:tc>
      </w:tr>
      <w:tr w14:paraId="57DDCF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4" w:type="dxa"/>
            <w:vMerge w:val="continue"/>
            <w:tcBorders>
              <w:top w:val="single" w:color="000000" w:sz="16" w:space="0"/>
              <w:left w:val="single" w:color="000000" w:sz="16" w:space="0"/>
              <w:bottom w:val="single" w:color="000000" w:sz="16" w:space="0"/>
              <w:right w:val="nil"/>
            </w:tcBorders>
            <w:shd w:val="clear" w:color="auto" w:fill="FFFFFF"/>
            <w:vAlign w:val="center"/>
          </w:tcPr>
          <w:p w14:paraId="244DAE83">
            <w:pPr>
              <w:autoSpaceDE w:val="0"/>
              <w:autoSpaceDN w:val="0"/>
              <w:adjustRightInd w:val="0"/>
              <w:spacing w:after="0" w:line="240" w:lineRule="auto"/>
              <w:jc w:val="center"/>
              <w:rPr>
                <w:rFonts w:ascii="Arial" w:hAnsi="Arial" w:cs="Arial"/>
                <w:color w:val="000000"/>
                <w:sz w:val="18"/>
                <w:szCs w:val="18"/>
                <w:highlight w:val="none"/>
                <w:lang w:val="en-US"/>
              </w:rPr>
            </w:pPr>
          </w:p>
        </w:tc>
        <w:tc>
          <w:tcPr>
            <w:tcW w:w="1483" w:type="dxa"/>
            <w:tcBorders>
              <w:top w:val="nil"/>
              <w:left w:val="nil"/>
              <w:bottom w:val="single" w:color="000000" w:sz="16" w:space="0"/>
              <w:right w:val="single" w:color="000000" w:sz="16" w:space="0"/>
            </w:tcBorders>
            <w:shd w:val="clear" w:color="auto" w:fill="FFFFFF"/>
            <w:vAlign w:val="center"/>
          </w:tcPr>
          <w:p w14:paraId="5D83109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Total</w:t>
            </w:r>
          </w:p>
        </w:tc>
        <w:tc>
          <w:tcPr>
            <w:tcW w:w="1147" w:type="dxa"/>
            <w:tcBorders>
              <w:top w:val="nil"/>
              <w:left w:val="single" w:color="000000" w:sz="16" w:space="0"/>
              <w:bottom w:val="single" w:color="000000" w:sz="16" w:space="0"/>
            </w:tcBorders>
            <w:shd w:val="clear" w:color="auto" w:fill="FFFFFF"/>
          </w:tcPr>
          <w:p w14:paraId="3C8A211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288</w:t>
            </w:r>
          </w:p>
        </w:tc>
        <w:tc>
          <w:tcPr>
            <w:tcW w:w="1009" w:type="dxa"/>
            <w:tcBorders>
              <w:top w:val="nil"/>
              <w:bottom w:val="single" w:color="000000" w:sz="16" w:space="0"/>
            </w:tcBorders>
            <w:shd w:val="clear" w:color="auto" w:fill="FFFFFF"/>
          </w:tcPr>
          <w:p w14:paraId="55DC43D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p>
        </w:tc>
        <w:tc>
          <w:tcPr>
            <w:tcW w:w="1376" w:type="dxa"/>
            <w:tcBorders>
              <w:top w:val="nil"/>
              <w:bottom w:val="single" w:color="000000" w:sz="16" w:space="0"/>
            </w:tcBorders>
            <w:shd w:val="clear" w:color="auto" w:fill="FFFFFF"/>
          </w:tcPr>
          <w:p w14:paraId="28604D9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p>
        </w:tc>
        <w:tc>
          <w:tcPr>
            <w:tcW w:w="1468" w:type="dxa"/>
            <w:tcBorders>
              <w:top w:val="nil"/>
              <w:bottom w:val="single" w:color="000000" w:sz="16" w:space="0"/>
              <w:right w:val="single" w:color="000000" w:sz="16" w:space="0"/>
            </w:tcBorders>
            <w:shd w:val="clear" w:color="auto" w:fill="FFFFFF"/>
          </w:tcPr>
          <w:p w14:paraId="231CE0EA">
            <w:pPr>
              <w:autoSpaceDE w:val="0"/>
              <w:autoSpaceDN w:val="0"/>
              <w:adjustRightInd w:val="0"/>
              <w:spacing w:after="0" w:line="240" w:lineRule="auto"/>
              <w:jc w:val="center"/>
              <w:rPr>
                <w:rFonts w:cs="Times New Roman"/>
                <w:szCs w:val="24"/>
                <w:highlight w:val="none"/>
                <w:lang w:val="en-US"/>
              </w:rPr>
            </w:pPr>
          </w:p>
        </w:tc>
      </w:tr>
    </w:tbl>
    <w:p w14:paraId="0EB52246">
      <w:pPr>
        <w:autoSpaceDE w:val="0"/>
        <w:autoSpaceDN w:val="0"/>
        <w:adjustRightInd w:val="0"/>
        <w:spacing w:after="0" w:line="400" w:lineRule="atLeast"/>
        <w:jc w:val="center"/>
        <w:rPr>
          <w:rFonts w:cs="Times New Roman"/>
          <w:szCs w:val="24"/>
          <w:highlight w:val="none"/>
          <w:lang w:val="en-US"/>
        </w:rPr>
      </w:pPr>
    </w:p>
    <w:p w14:paraId="4026EB5A">
      <w:pPr>
        <w:autoSpaceDE w:val="0"/>
        <w:autoSpaceDN w:val="0"/>
        <w:adjustRightInd w:val="0"/>
        <w:spacing w:after="0" w:line="240" w:lineRule="auto"/>
        <w:jc w:val="center"/>
        <w:rPr>
          <w:rFonts w:cs="Times New Roman"/>
          <w:szCs w:val="24"/>
          <w:highlight w:val="none"/>
          <w:lang w:val="en-US"/>
        </w:rPr>
      </w:pPr>
    </w:p>
    <w:tbl>
      <w:tblPr>
        <w:tblStyle w:val="12"/>
        <w:tblW w:w="767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33"/>
        <w:gridCol w:w="1744"/>
        <w:gridCol w:w="1147"/>
        <w:gridCol w:w="1009"/>
        <w:gridCol w:w="1377"/>
        <w:gridCol w:w="1469"/>
      </w:tblGrid>
      <w:tr w14:paraId="539BBB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676" w:type="dxa"/>
            <w:gridSpan w:val="6"/>
            <w:tcBorders>
              <w:top w:val="nil"/>
              <w:left w:val="nil"/>
              <w:bottom w:val="nil"/>
              <w:right w:val="nil"/>
            </w:tcBorders>
            <w:shd w:val="clear" w:color="auto" w:fill="FFFFFF"/>
          </w:tcPr>
          <w:p w14:paraId="12BE694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b/>
                <w:bCs/>
                <w:color w:val="000000"/>
                <w:sz w:val="18"/>
                <w:szCs w:val="18"/>
                <w:highlight w:val="none"/>
                <w:lang w:val="en-US"/>
              </w:rPr>
              <w:t>Q13.</w:t>
            </w:r>
          </w:p>
        </w:tc>
      </w:tr>
      <w:tr w14:paraId="2CD89B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676" w:type="dxa"/>
            <w:gridSpan w:val="2"/>
            <w:tcBorders>
              <w:top w:val="single" w:color="000000" w:sz="16" w:space="0"/>
              <w:left w:val="single" w:color="000000" w:sz="16" w:space="0"/>
              <w:bottom w:val="single" w:color="000000" w:sz="16" w:space="0"/>
              <w:right w:val="nil"/>
            </w:tcBorders>
            <w:shd w:val="clear" w:color="auto" w:fill="FFFFFF"/>
          </w:tcPr>
          <w:p w14:paraId="6BB38A77">
            <w:pPr>
              <w:autoSpaceDE w:val="0"/>
              <w:autoSpaceDN w:val="0"/>
              <w:adjustRightInd w:val="0"/>
              <w:spacing w:after="0" w:line="240" w:lineRule="auto"/>
              <w:jc w:val="center"/>
              <w:rPr>
                <w:rFonts w:cs="Times New Roman"/>
                <w:szCs w:val="24"/>
                <w:highlight w:val="none"/>
                <w:lang w:val="en-US"/>
              </w:rPr>
            </w:pPr>
          </w:p>
        </w:tc>
        <w:tc>
          <w:tcPr>
            <w:tcW w:w="1147" w:type="dxa"/>
            <w:tcBorders>
              <w:top w:val="single" w:color="000000" w:sz="16" w:space="0"/>
              <w:left w:val="single" w:color="000000" w:sz="16" w:space="0"/>
              <w:bottom w:val="single" w:color="000000" w:sz="16" w:space="0"/>
            </w:tcBorders>
            <w:shd w:val="clear" w:color="auto" w:fill="FFFFFF"/>
          </w:tcPr>
          <w:p w14:paraId="655E34C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Frequency</w:t>
            </w:r>
          </w:p>
        </w:tc>
        <w:tc>
          <w:tcPr>
            <w:tcW w:w="1009" w:type="dxa"/>
            <w:tcBorders>
              <w:top w:val="single" w:color="000000" w:sz="16" w:space="0"/>
              <w:bottom w:val="single" w:color="000000" w:sz="16" w:space="0"/>
            </w:tcBorders>
            <w:shd w:val="clear" w:color="auto" w:fill="FFFFFF"/>
          </w:tcPr>
          <w:p w14:paraId="409B4B9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Percent</w:t>
            </w:r>
          </w:p>
        </w:tc>
        <w:tc>
          <w:tcPr>
            <w:tcW w:w="1376" w:type="dxa"/>
            <w:tcBorders>
              <w:top w:val="single" w:color="000000" w:sz="16" w:space="0"/>
              <w:bottom w:val="single" w:color="000000" w:sz="16" w:space="0"/>
            </w:tcBorders>
            <w:shd w:val="clear" w:color="auto" w:fill="FFFFFF"/>
          </w:tcPr>
          <w:p w14:paraId="110DE54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Valid Percent</w:t>
            </w:r>
          </w:p>
        </w:tc>
        <w:tc>
          <w:tcPr>
            <w:tcW w:w="1468" w:type="dxa"/>
            <w:tcBorders>
              <w:top w:val="single" w:color="000000" w:sz="16" w:space="0"/>
              <w:bottom w:val="single" w:color="000000" w:sz="16" w:space="0"/>
              <w:right w:val="single" w:color="000000" w:sz="16" w:space="0"/>
            </w:tcBorders>
            <w:shd w:val="clear" w:color="auto" w:fill="FFFFFF"/>
          </w:tcPr>
          <w:p w14:paraId="647EEAC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Cumulative Percent</w:t>
            </w:r>
          </w:p>
        </w:tc>
      </w:tr>
      <w:tr w14:paraId="44137D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vMerge w:val="restart"/>
            <w:tcBorders>
              <w:top w:val="single" w:color="000000" w:sz="16" w:space="0"/>
              <w:left w:val="single" w:color="000000" w:sz="16" w:space="0"/>
              <w:bottom w:val="nil"/>
              <w:right w:val="nil"/>
            </w:tcBorders>
            <w:shd w:val="clear" w:color="auto" w:fill="FFFFFF"/>
            <w:vAlign w:val="center"/>
          </w:tcPr>
          <w:p w14:paraId="78A715B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Valid</w:t>
            </w:r>
          </w:p>
        </w:tc>
        <w:tc>
          <w:tcPr>
            <w:tcW w:w="1743" w:type="dxa"/>
            <w:tcBorders>
              <w:top w:val="single" w:color="000000" w:sz="16" w:space="0"/>
              <w:left w:val="nil"/>
              <w:bottom w:val="nil"/>
              <w:right w:val="single" w:color="000000" w:sz="16" w:space="0"/>
            </w:tcBorders>
            <w:shd w:val="clear" w:color="auto" w:fill="FFFFFF"/>
            <w:vAlign w:val="center"/>
          </w:tcPr>
          <w:p w14:paraId="6006EC3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Strongly disagree</w:t>
            </w:r>
          </w:p>
        </w:tc>
        <w:tc>
          <w:tcPr>
            <w:tcW w:w="1147" w:type="dxa"/>
            <w:tcBorders>
              <w:top w:val="single" w:color="000000" w:sz="16" w:space="0"/>
              <w:left w:val="single" w:color="000000" w:sz="16" w:space="0"/>
              <w:bottom w:val="nil"/>
            </w:tcBorders>
            <w:shd w:val="clear" w:color="auto" w:fill="FFFFFF"/>
          </w:tcPr>
          <w:p w14:paraId="5EAFDDD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127</w:t>
            </w:r>
          </w:p>
        </w:tc>
        <w:tc>
          <w:tcPr>
            <w:tcW w:w="1009" w:type="dxa"/>
            <w:tcBorders>
              <w:top w:val="single" w:color="000000" w:sz="16" w:space="0"/>
              <w:bottom w:val="nil"/>
            </w:tcBorders>
            <w:shd w:val="clear" w:color="auto" w:fill="FFFFFF"/>
          </w:tcPr>
          <w:p w14:paraId="20F3A1C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44.1</w:t>
            </w:r>
          </w:p>
        </w:tc>
        <w:tc>
          <w:tcPr>
            <w:tcW w:w="1376" w:type="dxa"/>
            <w:tcBorders>
              <w:top w:val="single" w:color="000000" w:sz="16" w:space="0"/>
              <w:bottom w:val="nil"/>
            </w:tcBorders>
            <w:shd w:val="clear" w:color="auto" w:fill="FFFFFF"/>
          </w:tcPr>
          <w:p w14:paraId="50C1047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45.0</w:t>
            </w:r>
          </w:p>
        </w:tc>
        <w:tc>
          <w:tcPr>
            <w:tcW w:w="1468" w:type="dxa"/>
            <w:tcBorders>
              <w:top w:val="single" w:color="000000" w:sz="16" w:space="0"/>
              <w:bottom w:val="nil"/>
              <w:right w:val="single" w:color="000000" w:sz="16" w:space="0"/>
            </w:tcBorders>
            <w:shd w:val="clear" w:color="auto" w:fill="FFFFFF"/>
          </w:tcPr>
          <w:p w14:paraId="3D96BD8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45.0</w:t>
            </w:r>
          </w:p>
        </w:tc>
      </w:tr>
      <w:tr w14:paraId="10120B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vMerge w:val="continue"/>
            <w:tcBorders>
              <w:top w:val="single" w:color="000000" w:sz="16" w:space="0"/>
              <w:left w:val="single" w:color="000000" w:sz="16" w:space="0"/>
              <w:bottom w:val="nil"/>
              <w:right w:val="nil"/>
            </w:tcBorders>
            <w:shd w:val="clear" w:color="auto" w:fill="FFFFFF"/>
            <w:vAlign w:val="center"/>
          </w:tcPr>
          <w:p w14:paraId="0E150483">
            <w:pPr>
              <w:autoSpaceDE w:val="0"/>
              <w:autoSpaceDN w:val="0"/>
              <w:adjustRightInd w:val="0"/>
              <w:spacing w:after="0" w:line="240" w:lineRule="auto"/>
              <w:jc w:val="center"/>
              <w:rPr>
                <w:rFonts w:ascii="Arial" w:hAnsi="Arial" w:cs="Arial"/>
                <w:color w:val="000000"/>
                <w:sz w:val="18"/>
                <w:szCs w:val="18"/>
                <w:highlight w:val="none"/>
                <w:lang w:val="en-US"/>
              </w:rPr>
            </w:pPr>
          </w:p>
        </w:tc>
        <w:tc>
          <w:tcPr>
            <w:tcW w:w="1743" w:type="dxa"/>
            <w:tcBorders>
              <w:top w:val="nil"/>
              <w:left w:val="nil"/>
              <w:bottom w:val="nil"/>
              <w:right w:val="single" w:color="000000" w:sz="16" w:space="0"/>
            </w:tcBorders>
            <w:shd w:val="clear" w:color="auto" w:fill="FFFFFF"/>
            <w:vAlign w:val="center"/>
          </w:tcPr>
          <w:p w14:paraId="63EC1AA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p>
        </w:tc>
        <w:tc>
          <w:tcPr>
            <w:tcW w:w="1147" w:type="dxa"/>
            <w:tcBorders>
              <w:top w:val="nil"/>
              <w:left w:val="single" w:color="000000" w:sz="16" w:space="0"/>
              <w:bottom w:val="nil"/>
            </w:tcBorders>
            <w:shd w:val="clear" w:color="auto" w:fill="FFFFFF"/>
          </w:tcPr>
          <w:p w14:paraId="6D10764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p>
        </w:tc>
        <w:tc>
          <w:tcPr>
            <w:tcW w:w="1009" w:type="dxa"/>
            <w:tcBorders>
              <w:top w:val="nil"/>
              <w:bottom w:val="nil"/>
            </w:tcBorders>
            <w:shd w:val="clear" w:color="auto" w:fill="FFFFFF"/>
          </w:tcPr>
          <w:p w14:paraId="39B24AF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p>
        </w:tc>
        <w:tc>
          <w:tcPr>
            <w:tcW w:w="1376" w:type="dxa"/>
            <w:tcBorders>
              <w:top w:val="nil"/>
              <w:bottom w:val="nil"/>
            </w:tcBorders>
            <w:shd w:val="clear" w:color="auto" w:fill="FFFFFF"/>
          </w:tcPr>
          <w:p w14:paraId="265D862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p>
        </w:tc>
        <w:tc>
          <w:tcPr>
            <w:tcW w:w="1468" w:type="dxa"/>
            <w:tcBorders>
              <w:top w:val="nil"/>
              <w:bottom w:val="nil"/>
              <w:right w:val="single" w:color="000000" w:sz="16" w:space="0"/>
            </w:tcBorders>
            <w:shd w:val="clear" w:color="auto" w:fill="FFFFFF"/>
          </w:tcPr>
          <w:p w14:paraId="633AEDA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p>
        </w:tc>
      </w:tr>
      <w:tr w14:paraId="469BEB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vMerge w:val="continue"/>
            <w:tcBorders>
              <w:top w:val="single" w:color="000000" w:sz="16" w:space="0"/>
              <w:left w:val="single" w:color="000000" w:sz="16" w:space="0"/>
              <w:bottom w:val="nil"/>
              <w:right w:val="nil"/>
            </w:tcBorders>
            <w:shd w:val="clear" w:color="auto" w:fill="FFFFFF"/>
            <w:vAlign w:val="center"/>
          </w:tcPr>
          <w:p w14:paraId="7C9607AC">
            <w:pPr>
              <w:autoSpaceDE w:val="0"/>
              <w:autoSpaceDN w:val="0"/>
              <w:adjustRightInd w:val="0"/>
              <w:spacing w:after="0" w:line="240" w:lineRule="auto"/>
              <w:jc w:val="center"/>
              <w:rPr>
                <w:rFonts w:ascii="Arial" w:hAnsi="Arial" w:cs="Arial"/>
                <w:color w:val="000000"/>
                <w:sz w:val="18"/>
                <w:szCs w:val="18"/>
                <w:highlight w:val="none"/>
                <w:lang w:val="en-US"/>
              </w:rPr>
            </w:pPr>
          </w:p>
        </w:tc>
        <w:tc>
          <w:tcPr>
            <w:tcW w:w="1743" w:type="dxa"/>
            <w:tcBorders>
              <w:top w:val="nil"/>
              <w:left w:val="nil"/>
              <w:bottom w:val="nil"/>
              <w:right w:val="single" w:color="000000" w:sz="16" w:space="0"/>
            </w:tcBorders>
            <w:shd w:val="clear" w:color="auto" w:fill="FFFFFF"/>
            <w:vAlign w:val="center"/>
          </w:tcPr>
          <w:p w14:paraId="20630A0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Agree</w:t>
            </w:r>
          </w:p>
        </w:tc>
        <w:tc>
          <w:tcPr>
            <w:tcW w:w="1147" w:type="dxa"/>
            <w:tcBorders>
              <w:top w:val="nil"/>
              <w:left w:val="single" w:color="000000" w:sz="16" w:space="0"/>
              <w:bottom w:val="nil"/>
            </w:tcBorders>
            <w:shd w:val="clear" w:color="auto" w:fill="FFFFFF"/>
          </w:tcPr>
          <w:p w14:paraId="5FE290C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154</w:t>
            </w:r>
          </w:p>
        </w:tc>
        <w:tc>
          <w:tcPr>
            <w:tcW w:w="1009" w:type="dxa"/>
            <w:tcBorders>
              <w:top w:val="nil"/>
              <w:bottom w:val="nil"/>
            </w:tcBorders>
            <w:shd w:val="clear" w:color="auto" w:fill="FFFFFF"/>
          </w:tcPr>
          <w:p w14:paraId="54BD7E0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53.5</w:t>
            </w:r>
          </w:p>
        </w:tc>
        <w:tc>
          <w:tcPr>
            <w:tcW w:w="1376" w:type="dxa"/>
            <w:tcBorders>
              <w:top w:val="nil"/>
              <w:bottom w:val="nil"/>
            </w:tcBorders>
            <w:shd w:val="clear" w:color="auto" w:fill="FFFFFF"/>
          </w:tcPr>
          <w:p w14:paraId="7386AA3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54.6</w:t>
            </w:r>
          </w:p>
        </w:tc>
        <w:tc>
          <w:tcPr>
            <w:tcW w:w="1468" w:type="dxa"/>
            <w:tcBorders>
              <w:top w:val="nil"/>
              <w:bottom w:val="nil"/>
              <w:right w:val="single" w:color="000000" w:sz="16" w:space="0"/>
            </w:tcBorders>
            <w:shd w:val="clear" w:color="auto" w:fill="FFFFFF"/>
          </w:tcPr>
          <w:p w14:paraId="5EBAC53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p>
        </w:tc>
      </w:tr>
      <w:tr w14:paraId="7120C8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vMerge w:val="continue"/>
            <w:tcBorders>
              <w:top w:val="single" w:color="000000" w:sz="16" w:space="0"/>
              <w:left w:val="single" w:color="000000" w:sz="16" w:space="0"/>
              <w:bottom w:val="nil"/>
              <w:right w:val="nil"/>
            </w:tcBorders>
            <w:shd w:val="clear" w:color="auto" w:fill="FFFFFF"/>
            <w:vAlign w:val="center"/>
          </w:tcPr>
          <w:p w14:paraId="701E3B30">
            <w:pPr>
              <w:autoSpaceDE w:val="0"/>
              <w:autoSpaceDN w:val="0"/>
              <w:adjustRightInd w:val="0"/>
              <w:spacing w:after="0" w:line="240" w:lineRule="auto"/>
              <w:jc w:val="center"/>
              <w:rPr>
                <w:rFonts w:ascii="Arial" w:hAnsi="Arial" w:cs="Arial"/>
                <w:color w:val="000000"/>
                <w:sz w:val="18"/>
                <w:szCs w:val="18"/>
                <w:highlight w:val="none"/>
                <w:lang w:val="en-US"/>
              </w:rPr>
            </w:pPr>
          </w:p>
        </w:tc>
        <w:tc>
          <w:tcPr>
            <w:tcW w:w="1743" w:type="dxa"/>
            <w:tcBorders>
              <w:top w:val="nil"/>
              <w:left w:val="nil"/>
              <w:bottom w:val="nil"/>
              <w:right w:val="single" w:color="000000" w:sz="16" w:space="0"/>
            </w:tcBorders>
            <w:shd w:val="clear" w:color="auto" w:fill="FFFFFF"/>
            <w:vAlign w:val="center"/>
          </w:tcPr>
          <w:p w14:paraId="0A6465B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Total</w:t>
            </w:r>
          </w:p>
        </w:tc>
        <w:tc>
          <w:tcPr>
            <w:tcW w:w="1147" w:type="dxa"/>
            <w:tcBorders>
              <w:top w:val="nil"/>
              <w:left w:val="single" w:color="000000" w:sz="16" w:space="0"/>
              <w:bottom w:val="nil"/>
            </w:tcBorders>
            <w:shd w:val="clear" w:color="auto" w:fill="FFFFFF"/>
          </w:tcPr>
          <w:p w14:paraId="3D10EFA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1009" w:type="dxa"/>
            <w:tcBorders>
              <w:top w:val="nil"/>
              <w:bottom w:val="nil"/>
            </w:tcBorders>
            <w:shd w:val="clear" w:color="auto" w:fill="FFFFFF"/>
          </w:tcPr>
          <w:p w14:paraId="31BE4AC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97.9</w:t>
            </w:r>
          </w:p>
        </w:tc>
        <w:tc>
          <w:tcPr>
            <w:tcW w:w="1376" w:type="dxa"/>
            <w:tcBorders>
              <w:top w:val="nil"/>
              <w:bottom w:val="nil"/>
            </w:tcBorders>
            <w:shd w:val="clear" w:color="auto" w:fill="FFFFFF"/>
          </w:tcPr>
          <w:p w14:paraId="080E88E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p>
        </w:tc>
        <w:tc>
          <w:tcPr>
            <w:tcW w:w="1468" w:type="dxa"/>
            <w:tcBorders>
              <w:top w:val="nil"/>
              <w:bottom w:val="nil"/>
              <w:right w:val="single" w:color="000000" w:sz="16" w:space="0"/>
            </w:tcBorders>
            <w:shd w:val="clear" w:color="auto" w:fill="FFFFFF"/>
          </w:tcPr>
          <w:p w14:paraId="06D4D483">
            <w:pPr>
              <w:autoSpaceDE w:val="0"/>
              <w:autoSpaceDN w:val="0"/>
              <w:adjustRightInd w:val="0"/>
              <w:spacing w:after="0" w:line="240" w:lineRule="auto"/>
              <w:jc w:val="center"/>
              <w:rPr>
                <w:rFonts w:cs="Times New Roman"/>
                <w:szCs w:val="24"/>
                <w:highlight w:val="none"/>
                <w:lang w:val="en-US"/>
              </w:rPr>
            </w:pPr>
          </w:p>
        </w:tc>
      </w:tr>
      <w:tr w14:paraId="12E4B2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tcBorders>
              <w:top w:val="nil"/>
              <w:left w:val="single" w:color="000000" w:sz="16" w:space="0"/>
              <w:bottom w:val="nil"/>
              <w:right w:val="nil"/>
            </w:tcBorders>
            <w:shd w:val="clear" w:color="auto" w:fill="FFFFFF"/>
            <w:vAlign w:val="center"/>
          </w:tcPr>
          <w:p w14:paraId="005B613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Missing</w:t>
            </w:r>
          </w:p>
        </w:tc>
        <w:tc>
          <w:tcPr>
            <w:tcW w:w="1743" w:type="dxa"/>
            <w:tcBorders>
              <w:top w:val="nil"/>
              <w:left w:val="nil"/>
              <w:bottom w:val="nil"/>
              <w:right w:val="single" w:color="000000" w:sz="16" w:space="0"/>
            </w:tcBorders>
            <w:shd w:val="clear" w:color="auto" w:fill="FFFFFF"/>
            <w:vAlign w:val="center"/>
          </w:tcPr>
          <w:p w14:paraId="3FAA994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System</w:t>
            </w:r>
          </w:p>
        </w:tc>
        <w:tc>
          <w:tcPr>
            <w:tcW w:w="1147" w:type="dxa"/>
            <w:tcBorders>
              <w:top w:val="nil"/>
              <w:left w:val="single" w:color="000000" w:sz="16" w:space="0"/>
              <w:bottom w:val="nil"/>
            </w:tcBorders>
            <w:shd w:val="clear" w:color="auto" w:fill="FFFFFF"/>
          </w:tcPr>
          <w:p w14:paraId="4084E95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6</w:t>
            </w:r>
          </w:p>
        </w:tc>
        <w:tc>
          <w:tcPr>
            <w:tcW w:w="1009" w:type="dxa"/>
            <w:tcBorders>
              <w:top w:val="nil"/>
              <w:bottom w:val="nil"/>
            </w:tcBorders>
            <w:shd w:val="clear" w:color="auto" w:fill="FFFFFF"/>
          </w:tcPr>
          <w:p w14:paraId="0DDB153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2.1</w:t>
            </w:r>
          </w:p>
        </w:tc>
        <w:tc>
          <w:tcPr>
            <w:tcW w:w="1376" w:type="dxa"/>
            <w:tcBorders>
              <w:top w:val="nil"/>
              <w:bottom w:val="nil"/>
            </w:tcBorders>
            <w:shd w:val="clear" w:color="auto" w:fill="FFFFFF"/>
          </w:tcPr>
          <w:p w14:paraId="0F6BA750">
            <w:pPr>
              <w:autoSpaceDE w:val="0"/>
              <w:autoSpaceDN w:val="0"/>
              <w:adjustRightInd w:val="0"/>
              <w:spacing w:after="0" w:line="240" w:lineRule="auto"/>
              <w:jc w:val="center"/>
              <w:rPr>
                <w:rFonts w:cs="Times New Roman"/>
                <w:szCs w:val="24"/>
                <w:highlight w:val="none"/>
                <w:lang w:val="en-US"/>
              </w:rPr>
            </w:pPr>
          </w:p>
        </w:tc>
        <w:tc>
          <w:tcPr>
            <w:tcW w:w="1468" w:type="dxa"/>
            <w:tcBorders>
              <w:top w:val="nil"/>
              <w:bottom w:val="nil"/>
              <w:right w:val="single" w:color="000000" w:sz="16" w:space="0"/>
            </w:tcBorders>
            <w:shd w:val="clear" w:color="auto" w:fill="FFFFFF"/>
          </w:tcPr>
          <w:p w14:paraId="1DC64836">
            <w:pPr>
              <w:autoSpaceDE w:val="0"/>
              <w:autoSpaceDN w:val="0"/>
              <w:adjustRightInd w:val="0"/>
              <w:spacing w:after="0" w:line="240" w:lineRule="auto"/>
              <w:jc w:val="center"/>
              <w:rPr>
                <w:rFonts w:cs="Times New Roman"/>
                <w:szCs w:val="24"/>
                <w:highlight w:val="none"/>
                <w:lang w:val="en-US"/>
              </w:rPr>
            </w:pPr>
          </w:p>
        </w:tc>
      </w:tr>
      <w:tr w14:paraId="63F4A0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676" w:type="dxa"/>
            <w:gridSpan w:val="2"/>
            <w:tcBorders>
              <w:top w:val="nil"/>
              <w:left w:val="single" w:color="000000" w:sz="16" w:space="0"/>
              <w:bottom w:val="single" w:color="000000" w:sz="16" w:space="0"/>
              <w:right w:val="nil"/>
            </w:tcBorders>
            <w:shd w:val="clear" w:color="auto" w:fill="FFFFFF"/>
            <w:vAlign w:val="center"/>
          </w:tcPr>
          <w:p w14:paraId="36A0A6A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Total</w:t>
            </w:r>
          </w:p>
        </w:tc>
        <w:tc>
          <w:tcPr>
            <w:tcW w:w="1147" w:type="dxa"/>
            <w:tcBorders>
              <w:top w:val="nil"/>
              <w:left w:val="single" w:color="000000" w:sz="16" w:space="0"/>
              <w:bottom w:val="single" w:color="000000" w:sz="16" w:space="0"/>
            </w:tcBorders>
            <w:shd w:val="clear" w:color="auto" w:fill="FFFFFF"/>
          </w:tcPr>
          <w:p w14:paraId="710B823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288</w:t>
            </w:r>
          </w:p>
        </w:tc>
        <w:tc>
          <w:tcPr>
            <w:tcW w:w="1009" w:type="dxa"/>
            <w:tcBorders>
              <w:top w:val="nil"/>
              <w:bottom w:val="single" w:color="000000" w:sz="16" w:space="0"/>
            </w:tcBorders>
            <w:shd w:val="clear" w:color="auto" w:fill="FFFFFF"/>
          </w:tcPr>
          <w:p w14:paraId="055EC70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p>
        </w:tc>
        <w:tc>
          <w:tcPr>
            <w:tcW w:w="1376" w:type="dxa"/>
            <w:tcBorders>
              <w:top w:val="nil"/>
              <w:bottom w:val="single" w:color="000000" w:sz="16" w:space="0"/>
            </w:tcBorders>
            <w:shd w:val="clear" w:color="auto" w:fill="FFFFFF"/>
          </w:tcPr>
          <w:p w14:paraId="52907F44">
            <w:pPr>
              <w:autoSpaceDE w:val="0"/>
              <w:autoSpaceDN w:val="0"/>
              <w:adjustRightInd w:val="0"/>
              <w:spacing w:after="0" w:line="240" w:lineRule="auto"/>
              <w:jc w:val="center"/>
              <w:rPr>
                <w:rFonts w:cs="Times New Roman"/>
                <w:szCs w:val="24"/>
                <w:highlight w:val="none"/>
                <w:lang w:val="en-US"/>
              </w:rPr>
            </w:pPr>
          </w:p>
        </w:tc>
        <w:tc>
          <w:tcPr>
            <w:tcW w:w="1468" w:type="dxa"/>
            <w:tcBorders>
              <w:top w:val="nil"/>
              <w:bottom w:val="single" w:color="000000" w:sz="16" w:space="0"/>
              <w:right w:val="single" w:color="000000" w:sz="16" w:space="0"/>
            </w:tcBorders>
            <w:shd w:val="clear" w:color="auto" w:fill="FFFFFF"/>
          </w:tcPr>
          <w:p w14:paraId="3BFC5E02">
            <w:pPr>
              <w:autoSpaceDE w:val="0"/>
              <w:autoSpaceDN w:val="0"/>
              <w:adjustRightInd w:val="0"/>
              <w:spacing w:after="0" w:line="240" w:lineRule="auto"/>
              <w:jc w:val="center"/>
              <w:rPr>
                <w:rFonts w:cs="Times New Roman"/>
                <w:szCs w:val="24"/>
                <w:highlight w:val="none"/>
                <w:lang w:val="en-US"/>
              </w:rPr>
            </w:pPr>
          </w:p>
        </w:tc>
      </w:tr>
    </w:tbl>
    <w:p w14:paraId="409C4805">
      <w:pPr>
        <w:autoSpaceDE w:val="0"/>
        <w:autoSpaceDN w:val="0"/>
        <w:adjustRightInd w:val="0"/>
        <w:spacing w:after="0" w:line="400" w:lineRule="atLeast"/>
        <w:jc w:val="center"/>
        <w:rPr>
          <w:rFonts w:cs="Times New Roman"/>
          <w:szCs w:val="24"/>
          <w:highlight w:val="none"/>
          <w:lang w:val="en-US"/>
        </w:rPr>
      </w:pPr>
    </w:p>
    <w:p w14:paraId="18799471">
      <w:pPr>
        <w:autoSpaceDE w:val="0"/>
        <w:autoSpaceDN w:val="0"/>
        <w:adjustRightInd w:val="0"/>
        <w:spacing w:after="0" w:line="240" w:lineRule="auto"/>
        <w:jc w:val="center"/>
        <w:rPr>
          <w:rFonts w:cs="Times New Roman"/>
          <w:szCs w:val="24"/>
          <w:highlight w:val="none"/>
          <w:lang w:val="en-US"/>
        </w:rPr>
      </w:pPr>
    </w:p>
    <w:tbl>
      <w:tblPr>
        <w:tblStyle w:val="12"/>
        <w:tblW w:w="741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33"/>
        <w:gridCol w:w="1484"/>
        <w:gridCol w:w="1147"/>
        <w:gridCol w:w="1009"/>
        <w:gridCol w:w="1377"/>
        <w:gridCol w:w="1469"/>
      </w:tblGrid>
      <w:tr w14:paraId="5930FF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419" w:type="dxa"/>
            <w:gridSpan w:val="6"/>
            <w:tcBorders>
              <w:top w:val="nil"/>
              <w:left w:val="nil"/>
              <w:bottom w:val="nil"/>
              <w:right w:val="nil"/>
            </w:tcBorders>
            <w:shd w:val="clear" w:color="auto" w:fill="FFFFFF"/>
          </w:tcPr>
          <w:p w14:paraId="0ED4A92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b/>
                <w:bCs/>
                <w:color w:val="000000"/>
                <w:sz w:val="18"/>
                <w:szCs w:val="18"/>
                <w:highlight w:val="none"/>
                <w:lang w:val="en-US"/>
              </w:rPr>
              <w:t>Q14.</w:t>
            </w:r>
          </w:p>
        </w:tc>
      </w:tr>
      <w:tr w14:paraId="3D7163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417" w:type="dxa"/>
            <w:gridSpan w:val="2"/>
            <w:tcBorders>
              <w:top w:val="single" w:color="000000" w:sz="16" w:space="0"/>
              <w:left w:val="single" w:color="000000" w:sz="16" w:space="0"/>
              <w:bottom w:val="single" w:color="000000" w:sz="16" w:space="0"/>
              <w:right w:val="nil"/>
            </w:tcBorders>
            <w:shd w:val="clear" w:color="auto" w:fill="FFFFFF"/>
          </w:tcPr>
          <w:p w14:paraId="5F5A8913">
            <w:pPr>
              <w:autoSpaceDE w:val="0"/>
              <w:autoSpaceDN w:val="0"/>
              <w:adjustRightInd w:val="0"/>
              <w:spacing w:after="0" w:line="240" w:lineRule="auto"/>
              <w:jc w:val="center"/>
              <w:rPr>
                <w:rFonts w:cs="Times New Roman"/>
                <w:szCs w:val="24"/>
                <w:highlight w:val="none"/>
                <w:lang w:val="en-US"/>
              </w:rPr>
            </w:pPr>
          </w:p>
        </w:tc>
        <w:tc>
          <w:tcPr>
            <w:tcW w:w="1147" w:type="dxa"/>
            <w:tcBorders>
              <w:top w:val="single" w:color="000000" w:sz="16" w:space="0"/>
              <w:left w:val="single" w:color="000000" w:sz="16" w:space="0"/>
              <w:bottom w:val="single" w:color="000000" w:sz="16" w:space="0"/>
            </w:tcBorders>
            <w:shd w:val="clear" w:color="auto" w:fill="FFFFFF"/>
          </w:tcPr>
          <w:p w14:paraId="5A77CE9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Frequency</w:t>
            </w:r>
          </w:p>
        </w:tc>
        <w:tc>
          <w:tcPr>
            <w:tcW w:w="1009" w:type="dxa"/>
            <w:tcBorders>
              <w:top w:val="single" w:color="000000" w:sz="16" w:space="0"/>
              <w:bottom w:val="single" w:color="000000" w:sz="16" w:space="0"/>
            </w:tcBorders>
            <w:shd w:val="clear" w:color="auto" w:fill="FFFFFF"/>
          </w:tcPr>
          <w:p w14:paraId="3BAFD89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Percent</w:t>
            </w:r>
          </w:p>
        </w:tc>
        <w:tc>
          <w:tcPr>
            <w:tcW w:w="1377" w:type="dxa"/>
            <w:tcBorders>
              <w:top w:val="single" w:color="000000" w:sz="16" w:space="0"/>
              <w:bottom w:val="single" w:color="000000" w:sz="16" w:space="0"/>
            </w:tcBorders>
            <w:shd w:val="clear" w:color="auto" w:fill="FFFFFF"/>
          </w:tcPr>
          <w:p w14:paraId="327ACBD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Valid Percent</w:t>
            </w:r>
          </w:p>
        </w:tc>
        <w:tc>
          <w:tcPr>
            <w:tcW w:w="1469" w:type="dxa"/>
            <w:tcBorders>
              <w:top w:val="single" w:color="000000" w:sz="16" w:space="0"/>
              <w:bottom w:val="single" w:color="000000" w:sz="16" w:space="0"/>
              <w:right w:val="single" w:color="000000" w:sz="16" w:space="0"/>
            </w:tcBorders>
            <w:shd w:val="clear" w:color="auto" w:fill="FFFFFF"/>
          </w:tcPr>
          <w:p w14:paraId="68F9449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Cumulative Percent</w:t>
            </w:r>
          </w:p>
        </w:tc>
      </w:tr>
      <w:tr w14:paraId="6A5A7D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vMerge w:val="restart"/>
            <w:tcBorders>
              <w:top w:val="single" w:color="000000" w:sz="16" w:space="0"/>
              <w:left w:val="single" w:color="000000" w:sz="16" w:space="0"/>
              <w:bottom w:val="nil"/>
              <w:right w:val="nil"/>
            </w:tcBorders>
            <w:shd w:val="clear" w:color="auto" w:fill="FFFFFF"/>
            <w:vAlign w:val="center"/>
          </w:tcPr>
          <w:p w14:paraId="34F90A9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Valid</w:t>
            </w:r>
          </w:p>
        </w:tc>
        <w:tc>
          <w:tcPr>
            <w:tcW w:w="1484" w:type="dxa"/>
            <w:tcBorders>
              <w:top w:val="single" w:color="000000" w:sz="16" w:space="0"/>
              <w:left w:val="nil"/>
              <w:bottom w:val="nil"/>
              <w:right w:val="single" w:color="000000" w:sz="16" w:space="0"/>
            </w:tcBorders>
            <w:shd w:val="clear" w:color="auto" w:fill="FFFFFF"/>
            <w:vAlign w:val="center"/>
          </w:tcPr>
          <w:p w14:paraId="63F6E59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Disagree</w:t>
            </w:r>
          </w:p>
        </w:tc>
        <w:tc>
          <w:tcPr>
            <w:tcW w:w="1147" w:type="dxa"/>
            <w:tcBorders>
              <w:top w:val="single" w:color="000000" w:sz="16" w:space="0"/>
              <w:left w:val="single" w:color="000000" w:sz="16" w:space="0"/>
              <w:bottom w:val="nil"/>
            </w:tcBorders>
            <w:shd w:val="clear" w:color="auto" w:fill="FFFFFF"/>
          </w:tcPr>
          <w:p w14:paraId="64052B1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127</w:t>
            </w:r>
          </w:p>
        </w:tc>
        <w:tc>
          <w:tcPr>
            <w:tcW w:w="1009" w:type="dxa"/>
            <w:tcBorders>
              <w:top w:val="single" w:color="000000" w:sz="16" w:space="0"/>
              <w:bottom w:val="nil"/>
            </w:tcBorders>
            <w:shd w:val="clear" w:color="auto" w:fill="FFFFFF"/>
          </w:tcPr>
          <w:p w14:paraId="1F9EAA8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44.1</w:t>
            </w:r>
          </w:p>
        </w:tc>
        <w:tc>
          <w:tcPr>
            <w:tcW w:w="1377" w:type="dxa"/>
            <w:tcBorders>
              <w:top w:val="single" w:color="000000" w:sz="16" w:space="0"/>
              <w:bottom w:val="nil"/>
            </w:tcBorders>
            <w:shd w:val="clear" w:color="auto" w:fill="FFFFFF"/>
          </w:tcPr>
          <w:p w14:paraId="3A220EE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45.0</w:t>
            </w:r>
          </w:p>
        </w:tc>
        <w:tc>
          <w:tcPr>
            <w:tcW w:w="1469" w:type="dxa"/>
            <w:tcBorders>
              <w:top w:val="single" w:color="000000" w:sz="16" w:space="0"/>
              <w:bottom w:val="nil"/>
              <w:right w:val="single" w:color="000000" w:sz="16" w:space="0"/>
            </w:tcBorders>
            <w:shd w:val="clear" w:color="auto" w:fill="FFFFFF"/>
          </w:tcPr>
          <w:p w14:paraId="3BE71FF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45.0</w:t>
            </w:r>
          </w:p>
        </w:tc>
      </w:tr>
      <w:tr w14:paraId="619FCB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vMerge w:val="continue"/>
            <w:tcBorders>
              <w:top w:val="single" w:color="000000" w:sz="16" w:space="0"/>
              <w:left w:val="single" w:color="000000" w:sz="16" w:space="0"/>
              <w:bottom w:val="nil"/>
              <w:right w:val="nil"/>
            </w:tcBorders>
            <w:shd w:val="clear" w:color="auto" w:fill="FFFFFF"/>
            <w:vAlign w:val="center"/>
          </w:tcPr>
          <w:p w14:paraId="4E0BE14A">
            <w:pPr>
              <w:autoSpaceDE w:val="0"/>
              <w:autoSpaceDN w:val="0"/>
              <w:adjustRightInd w:val="0"/>
              <w:spacing w:after="0" w:line="240" w:lineRule="auto"/>
              <w:jc w:val="center"/>
              <w:rPr>
                <w:rFonts w:ascii="Arial" w:hAnsi="Arial" w:cs="Arial"/>
                <w:color w:val="000000"/>
                <w:sz w:val="18"/>
                <w:szCs w:val="18"/>
                <w:highlight w:val="none"/>
                <w:lang w:val="en-US"/>
              </w:rPr>
            </w:pPr>
          </w:p>
        </w:tc>
        <w:tc>
          <w:tcPr>
            <w:tcW w:w="1484" w:type="dxa"/>
            <w:tcBorders>
              <w:top w:val="nil"/>
              <w:left w:val="nil"/>
              <w:bottom w:val="nil"/>
              <w:right w:val="single" w:color="000000" w:sz="16" w:space="0"/>
            </w:tcBorders>
            <w:shd w:val="clear" w:color="auto" w:fill="FFFFFF"/>
            <w:vAlign w:val="center"/>
          </w:tcPr>
          <w:p w14:paraId="7660F00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Strongly agree</w:t>
            </w:r>
          </w:p>
        </w:tc>
        <w:tc>
          <w:tcPr>
            <w:tcW w:w="1147" w:type="dxa"/>
            <w:tcBorders>
              <w:top w:val="nil"/>
              <w:left w:val="single" w:color="000000" w:sz="16" w:space="0"/>
              <w:bottom w:val="nil"/>
            </w:tcBorders>
            <w:shd w:val="clear" w:color="auto" w:fill="FFFFFF"/>
          </w:tcPr>
          <w:p w14:paraId="15499F3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155</w:t>
            </w:r>
          </w:p>
        </w:tc>
        <w:tc>
          <w:tcPr>
            <w:tcW w:w="1009" w:type="dxa"/>
            <w:tcBorders>
              <w:top w:val="nil"/>
              <w:bottom w:val="nil"/>
            </w:tcBorders>
            <w:shd w:val="clear" w:color="auto" w:fill="FFFFFF"/>
          </w:tcPr>
          <w:p w14:paraId="101ECC4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53.8</w:t>
            </w:r>
          </w:p>
        </w:tc>
        <w:tc>
          <w:tcPr>
            <w:tcW w:w="1377" w:type="dxa"/>
            <w:tcBorders>
              <w:top w:val="nil"/>
              <w:bottom w:val="nil"/>
            </w:tcBorders>
            <w:shd w:val="clear" w:color="auto" w:fill="FFFFFF"/>
          </w:tcPr>
          <w:p w14:paraId="6ED2D45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55.0</w:t>
            </w:r>
          </w:p>
        </w:tc>
        <w:tc>
          <w:tcPr>
            <w:tcW w:w="1469" w:type="dxa"/>
            <w:tcBorders>
              <w:top w:val="nil"/>
              <w:bottom w:val="nil"/>
              <w:right w:val="single" w:color="000000" w:sz="16" w:space="0"/>
            </w:tcBorders>
            <w:shd w:val="clear" w:color="auto" w:fill="FFFFFF"/>
          </w:tcPr>
          <w:p w14:paraId="17E1AE4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p>
        </w:tc>
      </w:tr>
      <w:tr w14:paraId="65A331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vMerge w:val="continue"/>
            <w:tcBorders>
              <w:top w:val="single" w:color="000000" w:sz="16" w:space="0"/>
              <w:left w:val="single" w:color="000000" w:sz="16" w:space="0"/>
              <w:bottom w:val="nil"/>
              <w:right w:val="nil"/>
            </w:tcBorders>
            <w:shd w:val="clear" w:color="auto" w:fill="FFFFFF"/>
            <w:vAlign w:val="center"/>
          </w:tcPr>
          <w:p w14:paraId="349C9D0F">
            <w:pPr>
              <w:autoSpaceDE w:val="0"/>
              <w:autoSpaceDN w:val="0"/>
              <w:adjustRightInd w:val="0"/>
              <w:spacing w:after="0" w:line="240" w:lineRule="auto"/>
              <w:jc w:val="center"/>
              <w:rPr>
                <w:rFonts w:ascii="Arial" w:hAnsi="Arial" w:cs="Arial"/>
                <w:color w:val="000000"/>
                <w:sz w:val="18"/>
                <w:szCs w:val="18"/>
                <w:highlight w:val="none"/>
                <w:lang w:val="en-US"/>
              </w:rPr>
            </w:pPr>
          </w:p>
        </w:tc>
        <w:tc>
          <w:tcPr>
            <w:tcW w:w="1484" w:type="dxa"/>
            <w:tcBorders>
              <w:top w:val="nil"/>
              <w:left w:val="nil"/>
              <w:bottom w:val="nil"/>
              <w:right w:val="single" w:color="000000" w:sz="16" w:space="0"/>
            </w:tcBorders>
            <w:shd w:val="clear" w:color="auto" w:fill="FFFFFF"/>
            <w:vAlign w:val="center"/>
          </w:tcPr>
          <w:p w14:paraId="34894CF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Total</w:t>
            </w:r>
          </w:p>
        </w:tc>
        <w:tc>
          <w:tcPr>
            <w:tcW w:w="1147" w:type="dxa"/>
            <w:tcBorders>
              <w:top w:val="nil"/>
              <w:left w:val="single" w:color="000000" w:sz="16" w:space="0"/>
              <w:bottom w:val="nil"/>
            </w:tcBorders>
            <w:shd w:val="clear" w:color="auto" w:fill="FFFFFF"/>
          </w:tcPr>
          <w:p w14:paraId="2E2CD98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1009" w:type="dxa"/>
            <w:tcBorders>
              <w:top w:val="nil"/>
              <w:bottom w:val="nil"/>
            </w:tcBorders>
            <w:shd w:val="clear" w:color="auto" w:fill="FFFFFF"/>
          </w:tcPr>
          <w:p w14:paraId="15E34DD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97.9</w:t>
            </w:r>
          </w:p>
        </w:tc>
        <w:tc>
          <w:tcPr>
            <w:tcW w:w="1377" w:type="dxa"/>
            <w:tcBorders>
              <w:top w:val="nil"/>
              <w:bottom w:val="nil"/>
            </w:tcBorders>
            <w:shd w:val="clear" w:color="auto" w:fill="FFFFFF"/>
          </w:tcPr>
          <w:p w14:paraId="12AFC45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p>
        </w:tc>
        <w:tc>
          <w:tcPr>
            <w:tcW w:w="1469" w:type="dxa"/>
            <w:tcBorders>
              <w:top w:val="nil"/>
              <w:bottom w:val="nil"/>
              <w:right w:val="single" w:color="000000" w:sz="16" w:space="0"/>
            </w:tcBorders>
            <w:shd w:val="clear" w:color="auto" w:fill="FFFFFF"/>
          </w:tcPr>
          <w:p w14:paraId="5904B678">
            <w:pPr>
              <w:autoSpaceDE w:val="0"/>
              <w:autoSpaceDN w:val="0"/>
              <w:adjustRightInd w:val="0"/>
              <w:spacing w:after="0" w:line="240" w:lineRule="auto"/>
              <w:jc w:val="center"/>
              <w:rPr>
                <w:rFonts w:cs="Times New Roman"/>
                <w:szCs w:val="24"/>
                <w:highlight w:val="none"/>
                <w:lang w:val="en-US"/>
              </w:rPr>
            </w:pPr>
          </w:p>
        </w:tc>
      </w:tr>
      <w:tr w14:paraId="4754A0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tcBorders>
              <w:top w:val="nil"/>
              <w:left w:val="single" w:color="000000" w:sz="16" w:space="0"/>
              <w:bottom w:val="nil"/>
              <w:right w:val="nil"/>
            </w:tcBorders>
            <w:shd w:val="clear" w:color="auto" w:fill="FFFFFF"/>
            <w:vAlign w:val="center"/>
          </w:tcPr>
          <w:p w14:paraId="56CB229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Missing</w:t>
            </w:r>
          </w:p>
        </w:tc>
        <w:tc>
          <w:tcPr>
            <w:tcW w:w="1484" w:type="dxa"/>
            <w:tcBorders>
              <w:top w:val="nil"/>
              <w:left w:val="nil"/>
              <w:bottom w:val="nil"/>
              <w:right w:val="single" w:color="000000" w:sz="16" w:space="0"/>
            </w:tcBorders>
            <w:shd w:val="clear" w:color="auto" w:fill="FFFFFF"/>
            <w:vAlign w:val="center"/>
          </w:tcPr>
          <w:p w14:paraId="1B95B41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System</w:t>
            </w:r>
          </w:p>
        </w:tc>
        <w:tc>
          <w:tcPr>
            <w:tcW w:w="1147" w:type="dxa"/>
            <w:tcBorders>
              <w:top w:val="nil"/>
              <w:left w:val="single" w:color="000000" w:sz="16" w:space="0"/>
              <w:bottom w:val="nil"/>
            </w:tcBorders>
            <w:shd w:val="clear" w:color="auto" w:fill="FFFFFF"/>
          </w:tcPr>
          <w:p w14:paraId="05E2FE4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6</w:t>
            </w:r>
          </w:p>
        </w:tc>
        <w:tc>
          <w:tcPr>
            <w:tcW w:w="1009" w:type="dxa"/>
            <w:tcBorders>
              <w:top w:val="nil"/>
              <w:bottom w:val="nil"/>
            </w:tcBorders>
            <w:shd w:val="clear" w:color="auto" w:fill="FFFFFF"/>
          </w:tcPr>
          <w:p w14:paraId="479EEFB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2.1</w:t>
            </w:r>
          </w:p>
        </w:tc>
        <w:tc>
          <w:tcPr>
            <w:tcW w:w="1377" w:type="dxa"/>
            <w:tcBorders>
              <w:top w:val="nil"/>
              <w:bottom w:val="nil"/>
            </w:tcBorders>
            <w:shd w:val="clear" w:color="auto" w:fill="FFFFFF"/>
          </w:tcPr>
          <w:p w14:paraId="5D59868D">
            <w:pPr>
              <w:autoSpaceDE w:val="0"/>
              <w:autoSpaceDN w:val="0"/>
              <w:adjustRightInd w:val="0"/>
              <w:spacing w:after="0" w:line="240" w:lineRule="auto"/>
              <w:jc w:val="center"/>
              <w:rPr>
                <w:rFonts w:cs="Times New Roman"/>
                <w:szCs w:val="24"/>
                <w:highlight w:val="none"/>
                <w:lang w:val="en-US"/>
              </w:rPr>
            </w:pPr>
          </w:p>
        </w:tc>
        <w:tc>
          <w:tcPr>
            <w:tcW w:w="1469" w:type="dxa"/>
            <w:tcBorders>
              <w:top w:val="nil"/>
              <w:bottom w:val="nil"/>
              <w:right w:val="single" w:color="000000" w:sz="16" w:space="0"/>
            </w:tcBorders>
            <w:shd w:val="clear" w:color="auto" w:fill="FFFFFF"/>
          </w:tcPr>
          <w:p w14:paraId="132A0548">
            <w:pPr>
              <w:autoSpaceDE w:val="0"/>
              <w:autoSpaceDN w:val="0"/>
              <w:adjustRightInd w:val="0"/>
              <w:spacing w:after="0" w:line="240" w:lineRule="auto"/>
              <w:jc w:val="center"/>
              <w:rPr>
                <w:rFonts w:cs="Times New Roman"/>
                <w:szCs w:val="24"/>
                <w:highlight w:val="none"/>
                <w:lang w:val="en-US"/>
              </w:rPr>
            </w:pPr>
          </w:p>
        </w:tc>
      </w:tr>
      <w:tr w14:paraId="4F42B5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417" w:type="dxa"/>
            <w:gridSpan w:val="2"/>
            <w:tcBorders>
              <w:top w:val="nil"/>
              <w:left w:val="single" w:color="000000" w:sz="16" w:space="0"/>
              <w:bottom w:val="single" w:color="000000" w:sz="16" w:space="0"/>
              <w:right w:val="nil"/>
            </w:tcBorders>
            <w:shd w:val="clear" w:color="auto" w:fill="FFFFFF"/>
            <w:vAlign w:val="center"/>
          </w:tcPr>
          <w:p w14:paraId="1ACA2B1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Total</w:t>
            </w:r>
          </w:p>
        </w:tc>
        <w:tc>
          <w:tcPr>
            <w:tcW w:w="1147" w:type="dxa"/>
            <w:tcBorders>
              <w:top w:val="nil"/>
              <w:left w:val="single" w:color="000000" w:sz="16" w:space="0"/>
              <w:bottom w:val="single" w:color="000000" w:sz="16" w:space="0"/>
            </w:tcBorders>
            <w:shd w:val="clear" w:color="auto" w:fill="FFFFFF"/>
          </w:tcPr>
          <w:p w14:paraId="0A9FDFD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288</w:t>
            </w:r>
          </w:p>
        </w:tc>
        <w:tc>
          <w:tcPr>
            <w:tcW w:w="1009" w:type="dxa"/>
            <w:tcBorders>
              <w:top w:val="nil"/>
              <w:bottom w:val="single" w:color="000000" w:sz="16" w:space="0"/>
            </w:tcBorders>
            <w:shd w:val="clear" w:color="auto" w:fill="FFFFFF"/>
          </w:tcPr>
          <w:p w14:paraId="445DD56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p>
        </w:tc>
        <w:tc>
          <w:tcPr>
            <w:tcW w:w="1377" w:type="dxa"/>
            <w:tcBorders>
              <w:top w:val="nil"/>
              <w:bottom w:val="single" w:color="000000" w:sz="16" w:space="0"/>
            </w:tcBorders>
            <w:shd w:val="clear" w:color="auto" w:fill="FFFFFF"/>
          </w:tcPr>
          <w:p w14:paraId="75559964">
            <w:pPr>
              <w:autoSpaceDE w:val="0"/>
              <w:autoSpaceDN w:val="0"/>
              <w:adjustRightInd w:val="0"/>
              <w:spacing w:after="0" w:line="240" w:lineRule="auto"/>
              <w:jc w:val="center"/>
              <w:rPr>
                <w:rFonts w:cs="Times New Roman"/>
                <w:szCs w:val="24"/>
                <w:highlight w:val="none"/>
                <w:lang w:val="en-US"/>
              </w:rPr>
            </w:pPr>
          </w:p>
        </w:tc>
        <w:tc>
          <w:tcPr>
            <w:tcW w:w="1469" w:type="dxa"/>
            <w:tcBorders>
              <w:top w:val="nil"/>
              <w:bottom w:val="single" w:color="000000" w:sz="16" w:space="0"/>
              <w:right w:val="single" w:color="000000" w:sz="16" w:space="0"/>
            </w:tcBorders>
            <w:shd w:val="clear" w:color="auto" w:fill="FFFFFF"/>
          </w:tcPr>
          <w:p w14:paraId="5C5C6277">
            <w:pPr>
              <w:autoSpaceDE w:val="0"/>
              <w:autoSpaceDN w:val="0"/>
              <w:adjustRightInd w:val="0"/>
              <w:spacing w:after="0" w:line="240" w:lineRule="auto"/>
              <w:jc w:val="center"/>
              <w:rPr>
                <w:rFonts w:cs="Times New Roman"/>
                <w:szCs w:val="24"/>
                <w:highlight w:val="none"/>
                <w:lang w:val="en-US"/>
              </w:rPr>
            </w:pPr>
          </w:p>
        </w:tc>
      </w:tr>
    </w:tbl>
    <w:p w14:paraId="2CA367FE">
      <w:pPr>
        <w:adjustRightInd w:val="0"/>
        <w:jc w:val="center"/>
        <w:rPr>
          <w:rFonts w:cs="Times New Roman"/>
          <w:szCs w:val="24"/>
          <w:highlight w:val="none"/>
          <w:lang w:val="en-US"/>
        </w:rPr>
      </w:pPr>
    </w:p>
    <w:p w14:paraId="173D8B10">
      <w:pPr>
        <w:autoSpaceDE w:val="0"/>
        <w:autoSpaceDN w:val="0"/>
        <w:adjustRightInd w:val="0"/>
        <w:spacing w:after="0" w:line="240" w:lineRule="auto"/>
        <w:jc w:val="center"/>
        <w:rPr>
          <w:rFonts w:cs="Times New Roman"/>
          <w:szCs w:val="24"/>
          <w:highlight w:val="none"/>
          <w:lang w:val="en-US"/>
        </w:rPr>
      </w:pPr>
    </w:p>
    <w:tbl>
      <w:tblPr>
        <w:tblStyle w:val="12"/>
        <w:tblW w:w="767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33"/>
        <w:gridCol w:w="1744"/>
        <w:gridCol w:w="1147"/>
        <w:gridCol w:w="1009"/>
        <w:gridCol w:w="1377"/>
        <w:gridCol w:w="1469"/>
      </w:tblGrid>
      <w:tr w14:paraId="40E8C1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trPr>
        <w:tc>
          <w:tcPr>
            <w:tcW w:w="7676" w:type="dxa"/>
            <w:gridSpan w:val="6"/>
            <w:tcBorders>
              <w:top w:val="nil"/>
              <w:left w:val="nil"/>
              <w:bottom w:val="nil"/>
              <w:right w:val="nil"/>
            </w:tcBorders>
            <w:shd w:val="clear" w:color="auto" w:fill="FFFFFF"/>
          </w:tcPr>
          <w:p w14:paraId="10D1E35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b/>
                <w:bCs/>
                <w:color w:val="000000"/>
                <w:sz w:val="18"/>
                <w:szCs w:val="18"/>
                <w:highlight w:val="none"/>
                <w:lang w:val="en-US"/>
              </w:rPr>
              <w:t>Q15.</w:t>
            </w:r>
          </w:p>
        </w:tc>
      </w:tr>
      <w:tr w14:paraId="0E0829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676" w:type="dxa"/>
            <w:gridSpan w:val="2"/>
            <w:tcBorders>
              <w:top w:val="single" w:color="000000" w:sz="16" w:space="0"/>
              <w:left w:val="single" w:color="000000" w:sz="16" w:space="0"/>
              <w:bottom w:val="single" w:color="000000" w:sz="16" w:space="0"/>
              <w:right w:val="nil"/>
            </w:tcBorders>
            <w:shd w:val="clear" w:color="auto" w:fill="FFFFFF"/>
          </w:tcPr>
          <w:p w14:paraId="290D26DE">
            <w:pPr>
              <w:autoSpaceDE w:val="0"/>
              <w:autoSpaceDN w:val="0"/>
              <w:adjustRightInd w:val="0"/>
              <w:spacing w:after="0" w:line="240" w:lineRule="auto"/>
              <w:jc w:val="center"/>
              <w:rPr>
                <w:rFonts w:cs="Times New Roman"/>
                <w:szCs w:val="24"/>
                <w:highlight w:val="none"/>
                <w:lang w:val="en-US"/>
              </w:rPr>
            </w:pPr>
          </w:p>
        </w:tc>
        <w:tc>
          <w:tcPr>
            <w:tcW w:w="1147" w:type="dxa"/>
            <w:tcBorders>
              <w:top w:val="single" w:color="000000" w:sz="16" w:space="0"/>
              <w:left w:val="single" w:color="000000" w:sz="16" w:space="0"/>
              <w:bottom w:val="single" w:color="000000" w:sz="16" w:space="0"/>
            </w:tcBorders>
            <w:shd w:val="clear" w:color="auto" w:fill="FFFFFF"/>
          </w:tcPr>
          <w:p w14:paraId="11124C7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Frequency</w:t>
            </w:r>
          </w:p>
        </w:tc>
        <w:tc>
          <w:tcPr>
            <w:tcW w:w="1009" w:type="dxa"/>
            <w:tcBorders>
              <w:top w:val="single" w:color="000000" w:sz="16" w:space="0"/>
              <w:bottom w:val="single" w:color="000000" w:sz="16" w:space="0"/>
            </w:tcBorders>
            <w:shd w:val="clear" w:color="auto" w:fill="FFFFFF"/>
          </w:tcPr>
          <w:p w14:paraId="0CFCB6D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Percent</w:t>
            </w:r>
          </w:p>
        </w:tc>
        <w:tc>
          <w:tcPr>
            <w:tcW w:w="1376" w:type="dxa"/>
            <w:tcBorders>
              <w:top w:val="single" w:color="000000" w:sz="16" w:space="0"/>
              <w:bottom w:val="single" w:color="000000" w:sz="16" w:space="0"/>
            </w:tcBorders>
            <w:shd w:val="clear" w:color="auto" w:fill="FFFFFF"/>
          </w:tcPr>
          <w:p w14:paraId="0056729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Valid Percent</w:t>
            </w:r>
          </w:p>
        </w:tc>
        <w:tc>
          <w:tcPr>
            <w:tcW w:w="1468" w:type="dxa"/>
            <w:tcBorders>
              <w:top w:val="single" w:color="000000" w:sz="16" w:space="0"/>
              <w:bottom w:val="single" w:color="000000" w:sz="16" w:space="0"/>
              <w:right w:val="single" w:color="000000" w:sz="16" w:space="0"/>
            </w:tcBorders>
            <w:shd w:val="clear" w:color="auto" w:fill="FFFFFF"/>
          </w:tcPr>
          <w:p w14:paraId="167860C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Cumulative Percent</w:t>
            </w:r>
          </w:p>
        </w:tc>
      </w:tr>
      <w:tr w14:paraId="39957E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vMerge w:val="restart"/>
            <w:tcBorders>
              <w:top w:val="single" w:color="000000" w:sz="16" w:space="0"/>
              <w:left w:val="single" w:color="000000" w:sz="16" w:space="0"/>
              <w:bottom w:val="nil"/>
              <w:right w:val="nil"/>
            </w:tcBorders>
            <w:shd w:val="clear" w:color="auto" w:fill="FFFFFF"/>
            <w:vAlign w:val="center"/>
          </w:tcPr>
          <w:p w14:paraId="4E77D77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Valid</w:t>
            </w:r>
          </w:p>
        </w:tc>
        <w:tc>
          <w:tcPr>
            <w:tcW w:w="1743" w:type="dxa"/>
            <w:tcBorders>
              <w:top w:val="single" w:color="000000" w:sz="16" w:space="0"/>
              <w:left w:val="nil"/>
              <w:bottom w:val="nil"/>
              <w:right w:val="single" w:color="000000" w:sz="16" w:space="0"/>
            </w:tcBorders>
            <w:shd w:val="clear" w:color="auto" w:fill="FFFFFF"/>
            <w:vAlign w:val="center"/>
          </w:tcPr>
          <w:p w14:paraId="4C43864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Strongly disagree</w:t>
            </w:r>
          </w:p>
        </w:tc>
        <w:tc>
          <w:tcPr>
            <w:tcW w:w="1147" w:type="dxa"/>
            <w:tcBorders>
              <w:top w:val="single" w:color="000000" w:sz="16" w:space="0"/>
              <w:left w:val="single" w:color="000000" w:sz="16" w:space="0"/>
              <w:bottom w:val="nil"/>
            </w:tcBorders>
            <w:shd w:val="clear" w:color="auto" w:fill="FFFFFF"/>
          </w:tcPr>
          <w:p w14:paraId="5D207AC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127</w:t>
            </w:r>
          </w:p>
        </w:tc>
        <w:tc>
          <w:tcPr>
            <w:tcW w:w="1009" w:type="dxa"/>
            <w:tcBorders>
              <w:top w:val="single" w:color="000000" w:sz="16" w:space="0"/>
              <w:bottom w:val="nil"/>
            </w:tcBorders>
            <w:shd w:val="clear" w:color="auto" w:fill="FFFFFF"/>
          </w:tcPr>
          <w:p w14:paraId="7951758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44.1</w:t>
            </w:r>
          </w:p>
        </w:tc>
        <w:tc>
          <w:tcPr>
            <w:tcW w:w="1376" w:type="dxa"/>
            <w:tcBorders>
              <w:top w:val="single" w:color="000000" w:sz="16" w:space="0"/>
              <w:bottom w:val="nil"/>
            </w:tcBorders>
            <w:shd w:val="clear" w:color="auto" w:fill="FFFFFF"/>
          </w:tcPr>
          <w:p w14:paraId="189461D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45.0</w:t>
            </w:r>
          </w:p>
        </w:tc>
        <w:tc>
          <w:tcPr>
            <w:tcW w:w="1468" w:type="dxa"/>
            <w:tcBorders>
              <w:top w:val="single" w:color="000000" w:sz="16" w:space="0"/>
              <w:bottom w:val="nil"/>
              <w:right w:val="single" w:color="000000" w:sz="16" w:space="0"/>
            </w:tcBorders>
            <w:shd w:val="clear" w:color="auto" w:fill="FFFFFF"/>
          </w:tcPr>
          <w:p w14:paraId="3EEAC45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45.0</w:t>
            </w:r>
          </w:p>
        </w:tc>
      </w:tr>
      <w:tr w14:paraId="467A17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vMerge w:val="continue"/>
            <w:tcBorders>
              <w:top w:val="single" w:color="000000" w:sz="16" w:space="0"/>
              <w:left w:val="single" w:color="000000" w:sz="16" w:space="0"/>
              <w:bottom w:val="nil"/>
              <w:right w:val="nil"/>
            </w:tcBorders>
            <w:shd w:val="clear" w:color="auto" w:fill="FFFFFF"/>
            <w:vAlign w:val="center"/>
          </w:tcPr>
          <w:p w14:paraId="770FA601">
            <w:pPr>
              <w:autoSpaceDE w:val="0"/>
              <w:autoSpaceDN w:val="0"/>
              <w:adjustRightInd w:val="0"/>
              <w:spacing w:after="0" w:line="240" w:lineRule="auto"/>
              <w:jc w:val="center"/>
              <w:rPr>
                <w:rFonts w:ascii="Arial" w:hAnsi="Arial" w:cs="Arial"/>
                <w:color w:val="000000"/>
                <w:sz w:val="18"/>
                <w:szCs w:val="18"/>
                <w:highlight w:val="none"/>
                <w:lang w:val="en-US"/>
              </w:rPr>
            </w:pPr>
          </w:p>
        </w:tc>
        <w:tc>
          <w:tcPr>
            <w:tcW w:w="1743" w:type="dxa"/>
            <w:tcBorders>
              <w:top w:val="nil"/>
              <w:left w:val="nil"/>
              <w:bottom w:val="nil"/>
              <w:right w:val="single" w:color="000000" w:sz="16" w:space="0"/>
            </w:tcBorders>
            <w:shd w:val="clear" w:color="auto" w:fill="FFFFFF"/>
            <w:vAlign w:val="center"/>
          </w:tcPr>
          <w:p w14:paraId="2DBD358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Agree</w:t>
            </w:r>
          </w:p>
        </w:tc>
        <w:tc>
          <w:tcPr>
            <w:tcW w:w="1147" w:type="dxa"/>
            <w:tcBorders>
              <w:top w:val="nil"/>
              <w:left w:val="single" w:color="000000" w:sz="16" w:space="0"/>
              <w:bottom w:val="nil"/>
            </w:tcBorders>
            <w:shd w:val="clear" w:color="auto" w:fill="FFFFFF"/>
          </w:tcPr>
          <w:p w14:paraId="7F77D95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155</w:t>
            </w:r>
          </w:p>
        </w:tc>
        <w:tc>
          <w:tcPr>
            <w:tcW w:w="1009" w:type="dxa"/>
            <w:tcBorders>
              <w:top w:val="nil"/>
              <w:bottom w:val="nil"/>
            </w:tcBorders>
            <w:shd w:val="clear" w:color="auto" w:fill="FFFFFF"/>
          </w:tcPr>
          <w:p w14:paraId="24BF6B1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53.8</w:t>
            </w:r>
          </w:p>
        </w:tc>
        <w:tc>
          <w:tcPr>
            <w:tcW w:w="1376" w:type="dxa"/>
            <w:tcBorders>
              <w:top w:val="nil"/>
              <w:bottom w:val="nil"/>
            </w:tcBorders>
            <w:shd w:val="clear" w:color="auto" w:fill="FFFFFF"/>
          </w:tcPr>
          <w:p w14:paraId="0A1597F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55.0</w:t>
            </w:r>
          </w:p>
        </w:tc>
        <w:tc>
          <w:tcPr>
            <w:tcW w:w="1468" w:type="dxa"/>
            <w:tcBorders>
              <w:top w:val="nil"/>
              <w:bottom w:val="nil"/>
              <w:right w:val="single" w:color="000000" w:sz="16" w:space="0"/>
            </w:tcBorders>
            <w:shd w:val="clear" w:color="auto" w:fill="FFFFFF"/>
          </w:tcPr>
          <w:p w14:paraId="025467E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p>
        </w:tc>
      </w:tr>
      <w:tr w14:paraId="0B55F9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vMerge w:val="continue"/>
            <w:tcBorders>
              <w:top w:val="single" w:color="000000" w:sz="16" w:space="0"/>
              <w:left w:val="single" w:color="000000" w:sz="16" w:space="0"/>
              <w:bottom w:val="nil"/>
              <w:right w:val="nil"/>
            </w:tcBorders>
            <w:shd w:val="clear" w:color="auto" w:fill="FFFFFF"/>
            <w:vAlign w:val="center"/>
          </w:tcPr>
          <w:p w14:paraId="18019554">
            <w:pPr>
              <w:autoSpaceDE w:val="0"/>
              <w:autoSpaceDN w:val="0"/>
              <w:adjustRightInd w:val="0"/>
              <w:spacing w:after="0" w:line="240" w:lineRule="auto"/>
              <w:jc w:val="center"/>
              <w:rPr>
                <w:rFonts w:ascii="Arial" w:hAnsi="Arial" w:cs="Arial"/>
                <w:color w:val="000000"/>
                <w:sz w:val="18"/>
                <w:szCs w:val="18"/>
                <w:highlight w:val="none"/>
                <w:lang w:val="en-US"/>
              </w:rPr>
            </w:pPr>
          </w:p>
        </w:tc>
        <w:tc>
          <w:tcPr>
            <w:tcW w:w="1743" w:type="dxa"/>
            <w:tcBorders>
              <w:top w:val="nil"/>
              <w:left w:val="nil"/>
              <w:bottom w:val="nil"/>
              <w:right w:val="single" w:color="000000" w:sz="16" w:space="0"/>
            </w:tcBorders>
            <w:shd w:val="clear" w:color="auto" w:fill="FFFFFF"/>
            <w:vAlign w:val="center"/>
          </w:tcPr>
          <w:p w14:paraId="3500013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Total</w:t>
            </w:r>
          </w:p>
        </w:tc>
        <w:tc>
          <w:tcPr>
            <w:tcW w:w="1147" w:type="dxa"/>
            <w:tcBorders>
              <w:top w:val="nil"/>
              <w:left w:val="single" w:color="000000" w:sz="16" w:space="0"/>
              <w:bottom w:val="nil"/>
            </w:tcBorders>
            <w:shd w:val="clear" w:color="auto" w:fill="FFFFFF"/>
          </w:tcPr>
          <w:p w14:paraId="6A5644C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1009" w:type="dxa"/>
            <w:tcBorders>
              <w:top w:val="nil"/>
              <w:bottom w:val="nil"/>
            </w:tcBorders>
            <w:shd w:val="clear" w:color="auto" w:fill="FFFFFF"/>
          </w:tcPr>
          <w:p w14:paraId="79D57E1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97.9</w:t>
            </w:r>
          </w:p>
        </w:tc>
        <w:tc>
          <w:tcPr>
            <w:tcW w:w="1376" w:type="dxa"/>
            <w:tcBorders>
              <w:top w:val="nil"/>
              <w:bottom w:val="nil"/>
            </w:tcBorders>
            <w:shd w:val="clear" w:color="auto" w:fill="FFFFFF"/>
          </w:tcPr>
          <w:p w14:paraId="7F2DE7F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p>
        </w:tc>
        <w:tc>
          <w:tcPr>
            <w:tcW w:w="1468" w:type="dxa"/>
            <w:tcBorders>
              <w:top w:val="nil"/>
              <w:bottom w:val="nil"/>
              <w:right w:val="single" w:color="000000" w:sz="16" w:space="0"/>
            </w:tcBorders>
            <w:shd w:val="clear" w:color="auto" w:fill="FFFFFF"/>
          </w:tcPr>
          <w:p w14:paraId="5CFD6F40">
            <w:pPr>
              <w:autoSpaceDE w:val="0"/>
              <w:autoSpaceDN w:val="0"/>
              <w:adjustRightInd w:val="0"/>
              <w:spacing w:after="0" w:line="240" w:lineRule="auto"/>
              <w:jc w:val="center"/>
              <w:rPr>
                <w:rFonts w:cs="Times New Roman"/>
                <w:szCs w:val="24"/>
                <w:highlight w:val="none"/>
                <w:lang w:val="en-US"/>
              </w:rPr>
            </w:pPr>
          </w:p>
        </w:tc>
      </w:tr>
      <w:tr w14:paraId="30D4CB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933" w:type="dxa"/>
            <w:tcBorders>
              <w:top w:val="nil"/>
              <w:left w:val="single" w:color="000000" w:sz="16" w:space="0"/>
              <w:bottom w:val="nil"/>
              <w:right w:val="nil"/>
            </w:tcBorders>
            <w:shd w:val="clear" w:color="auto" w:fill="FFFFFF"/>
            <w:vAlign w:val="center"/>
          </w:tcPr>
          <w:p w14:paraId="49B525E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Missing</w:t>
            </w:r>
          </w:p>
        </w:tc>
        <w:tc>
          <w:tcPr>
            <w:tcW w:w="1743" w:type="dxa"/>
            <w:tcBorders>
              <w:top w:val="nil"/>
              <w:left w:val="nil"/>
              <w:bottom w:val="nil"/>
              <w:right w:val="single" w:color="000000" w:sz="16" w:space="0"/>
            </w:tcBorders>
            <w:shd w:val="clear" w:color="auto" w:fill="FFFFFF"/>
            <w:vAlign w:val="center"/>
          </w:tcPr>
          <w:p w14:paraId="47B7D90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System</w:t>
            </w:r>
          </w:p>
        </w:tc>
        <w:tc>
          <w:tcPr>
            <w:tcW w:w="1147" w:type="dxa"/>
            <w:tcBorders>
              <w:top w:val="nil"/>
              <w:left w:val="single" w:color="000000" w:sz="16" w:space="0"/>
              <w:bottom w:val="nil"/>
            </w:tcBorders>
            <w:shd w:val="clear" w:color="auto" w:fill="FFFFFF"/>
          </w:tcPr>
          <w:p w14:paraId="74539EE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6</w:t>
            </w:r>
          </w:p>
        </w:tc>
        <w:tc>
          <w:tcPr>
            <w:tcW w:w="1009" w:type="dxa"/>
            <w:tcBorders>
              <w:top w:val="nil"/>
              <w:bottom w:val="nil"/>
            </w:tcBorders>
            <w:shd w:val="clear" w:color="auto" w:fill="FFFFFF"/>
          </w:tcPr>
          <w:p w14:paraId="602F2BA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2.1</w:t>
            </w:r>
          </w:p>
        </w:tc>
        <w:tc>
          <w:tcPr>
            <w:tcW w:w="1376" w:type="dxa"/>
            <w:tcBorders>
              <w:top w:val="nil"/>
              <w:bottom w:val="nil"/>
            </w:tcBorders>
            <w:shd w:val="clear" w:color="auto" w:fill="FFFFFF"/>
          </w:tcPr>
          <w:p w14:paraId="178C14F5">
            <w:pPr>
              <w:autoSpaceDE w:val="0"/>
              <w:autoSpaceDN w:val="0"/>
              <w:adjustRightInd w:val="0"/>
              <w:spacing w:after="0" w:line="240" w:lineRule="auto"/>
              <w:jc w:val="center"/>
              <w:rPr>
                <w:rFonts w:cs="Times New Roman"/>
                <w:szCs w:val="24"/>
                <w:highlight w:val="none"/>
                <w:lang w:val="en-US"/>
              </w:rPr>
            </w:pPr>
          </w:p>
        </w:tc>
        <w:tc>
          <w:tcPr>
            <w:tcW w:w="1468" w:type="dxa"/>
            <w:tcBorders>
              <w:top w:val="nil"/>
              <w:bottom w:val="nil"/>
              <w:right w:val="single" w:color="000000" w:sz="16" w:space="0"/>
            </w:tcBorders>
            <w:shd w:val="clear" w:color="auto" w:fill="FFFFFF"/>
          </w:tcPr>
          <w:p w14:paraId="605E09A8">
            <w:pPr>
              <w:autoSpaceDE w:val="0"/>
              <w:autoSpaceDN w:val="0"/>
              <w:adjustRightInd w:val="0"/>
              <w:spacing w:after="0" w:line="240" w:lineRule="auto"/>
              <w:jc w:val="center"/>
              <w:rPr>
                <w:rFonts w:cs="Times New Roman"/>
                <w:szCs w:val="24"/>
                <w:highlight w:val="none"/>
                <w:lang w:val="en-US"/>
              </w:rPr>
            </w:pPr>
          </w:p>
        </w:tc>
      </w:tr>
      <w:tr w14:paraId="5737A1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676" w:type="dxa"/>
            <w:gridSpan w:val="2"/>
            <w:tcBorders>
              <w:top w:val="nil"/>
              <w:left w:val="single" w:color="000000" w:sz="16" w:space="0"/>
              <w:bottom w:val="single" w:color="000000" w:sz="16" w:space="0"/>
              <w:right w:val="nil"/>
            </w:tcBorders>
            <w:shd w:val="clear" w:color="auto" w:fill="FFFFFF"/>
            <w:vAlign w:val="center"/>
          </w:tcPr>
          <w:p w14:paraId="693C515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Total</w:t>
            </w:r>
          </w:p>
        </w:tc>
        <w:tc>
          <w:tcPr>
            <w:tcW w:w="1147" w:type="dxa"/>
            <w:tcBorders>
              <w:top w:val="nil"/>
              <w:left w:val="single" w:color="000000" w:sz="16" w:space="0"/>
              <w:bottom w:val="single" w:color="000000" w:sz="16" w:space="0"/>
            </w:tcBorders>
            <w:shd w:val="clear" w:color="auto" w:fill="FFFFFF"/>
          </w:tcPr>
          <w:p w14:paraId="44537DB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288</w:t>
            </w:r>
          </w:p>
        </w:tc>
        <w:tc>
          <w:tcPr>
            <w:tcW w:w="1009" w:type="dxa"/>
            <w:tcBorders>
              <w:top w:val="nil"/>
              <w:bottom w:val="single" w:color="000000" w:sz="16" w:space="0"/>
            </w:tcBorders>
            <w:shd w:val="clear" w:color="auto" w:fill="FFFFFF"/>
          </w:tcPr>
          <w:p w14:paraId="1F8B0B0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100.0</w:t>
            </w:r>
          </w:p>
        </w:tc>
        <w:tc>
          <w:tcPr>
            <w:tcW w:w="1376" w:type="dxa"/>
            <w:tcBorders>
              <w:top w:val="nil"/>
              <w:bottom w:val="single" w:color="000000" w:sz="16" w:space="0"/>
            </w:tcBorders>
            <w:shd w:val="clear" w:color="auto" w:fill="FFFFFF"/>
          </w:tcPr>
          <w:p w14:paraId="64C347F7">
            <w:pPr>
              <w:autoSpaceDE w:val="0"/>
              <w:autoSpaceDN w:val="0"/>
              <w:adjustRightInd w:val="0"/>
              <w:spacing w:after="0" w:line="240" w:lineRule="auto"/>
              <w:jc w:val="center"/>
              <w:rPr>
                <w:rFonts w:cs="Times New Roman"/>
                <w:szCs w:val="24"/>
                <w:highlight w:val="none"/>
                <w:lang w:val="en-US"/>
              </w:rPr>
            </w:pPr>
          </w:p>
        </w:tc>
        <w:tc>
          <w:tcPr>
            <w:tcW w:w="1468" w:type="dxa"/>
            <w:tcBorders>
              <w:top w:val="nil"/>
              <w:bottom w:val="single" w:color="000000" w:sz="16" w:space="0"/>
              <w:right w:val="single" w:color="000000" w:sz="16" w:space="0"/>
            </w:tcBorders>
            <w:shd w:val="clear" w:color="auto" w:fill="FFFFFF"/>
          </w:tcPr>
          <w:p w14:paraId="1691A260">
            <w:pPr>
              <w:autoSpaceDE w:val="0"/>
              <w:autoSpaceDN w:val="0"/>
              <w:adjustRightInd w:val="0"/>
              <w:spacing w:after="0" w:line="240" w:lineRule="auto"/>
              <w:jc w:val="center"/>
              <w:rPr>
                <w:rFonts w:cs="Times New Roman"/>
                <w:szCs w:val="24"/>
                <w:highlight w:val="none"/>
                <w:lang w:val="en-US"/>
              </w:rPr>
            </w:pPr>
          </w:p>
        </w:tc>
      </w:tr>
    </w:tbl>
    <w:p w14:paraId="014739EA">
      <w:pPr>
        <w:autoSpaceDE w:val="0"/>
        <w:autoSpaceDN w:val="0"/>
        <w:adjustRightInd w:val="0"/>
        <w:spacing w:after="0" w:line="400" w:lineRule="atLeast"/>
        <w:jc w:val="center"/>
        <w:rPr>
          <w:rFonts w:cs="Times New Roman"/>
          <w:szCs w:val="24"/>
          <w:highlight w:val="none"/>
          <w:lang w:val="en-US"/>
        </w:rPr>
      </w:pPr>
    </w:p>
    <w:p w14:paraId="3EE8CF22">
      <w:pPr>
        <w:autoSpaceDE w:val="0"/>
        <w:autoSpaceDN w:val="0"/>
        <w:adjustRightInd w:val="0"/>
        <w:spacing w:after="0" w:line="240" w:lineRule="auto"/>
        <w:jc w:val="center"/>
        <w:rPr>
          <w:rFonts w:cs="Times New Roman"/>
          <w:szCs w:val="24"/>
          <w:highlight w:val="none"/>
          <w:lang w:val="en-US"/>
        </w:rPr>
      </w:pPr>
      <w:r>
        <w:rPr>
          <w:rFonts w:cs="Times New Roman"/>
          <w:szCs w:val="24"/>
          <w:highlight w:val="none"/>
          <w:lang w:val="en-US"/>
        </w:rPr>
        <w:t>T Test</w:t>
      </w:r>
    </w:p>
    <w:p w14:paraId="34121D69">
      <w:pPr>
        <w:autoSpaceDE w:val="0"/>
        <w:autoSpaceDN w:val="0"/>
        <w:adjustRightInd w:val="0"/>
        <w:spacing w:after="0" w:line="240" w:lineRule="auto"/>
        <w:jc w:val="center"/>
        <w:rPr>
          <w:rFonts w:cs="Times New Roman"/>
          <w:szCs w:val="24"/>
          <w:highlight w:val="none"/>
          <w:lang w:val="en-US"/>
        </w:rPr>
      </w:pPr>
    </w:p>
    <w:tbl>
      <w:tblPr>
        <w:tblStyle w:val="12"/>
        <w:tblpPr w:leftFromText="180" w:rightFromText="180" w:vertAnchor="text" w:tblpY="1"/>
        <w:tblOverlap w:val="never"/>
        <w:tblW w:w="564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4"/>
        <w:gridCol w:w="1009"/>
        <w:gridCol w:w="1009"/>
        <w:gridCol w:w="1423"/>
        <w:gridCol w:w="1469"/>
      </w:tblGrid>
      <w:tr w14:paraId="0458C1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5642" w:type="dxa"/>
            <w:gridSpan w:val="5"/>
            <w:tcBorders>
              <w:top w:val="nil"/>
              <w:left w:val="nil"/>
              <w:bottom w:val="nil"/>
              <w:right w:val="nil"/>
            </w:tcBorders>
            <w:shd w:val="clear" w:color="auto" w:fill="FFFFFF"/>
          </w:tcPr>
          <w:p w14:paraId="785E035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b/>
                <w:bCs/>
                <w:color w:val="000000"/>
                <w:sz w:val="18"/>
                <w:szCs w:val="18"/>
                <w:highlight w:val="none"/>
                <w:lang w:val="en-US"/>
              </w:rPr>
              <w:t>One-Sample Statistics</w:t>
            </w:r>
          </w:p>
        </w:tc>
      </w:tr>
      <w:tr w14:paraId="09A99D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274" w:hRule="atLeast"/>
        </w:trPr>
        <w:tc>
          <w:tcPr>
            <w:tcW w:w="734" w:type="dxa"/>
            <w:tcBorders>
              <w:top w:val="single" w:color="000000" w:sz="16" w:space="0"/>
              <w:left w:val="single" w:color="000000" w:sz="16" w:space="0"/>
              <w:bottom w:val="single" w:color="000000" w:sz="16" w:space="0"/>
              <w:right w:val="single" w:color="000000" w:sz="16" w:space="0"/>
            </w:tcBorders>
            <w:shd w:val="clear" w:color="auto" w:fill="FFFFFF"/>
          </w:tcPr>
          <w:p w14:paraId="26214976">
            <w:pPr>
              <w:autoSpaceDE w:val="0"/>
              <w:autoSpaceDN w:val="0"/>
              <w:adjustRightInd w:val="0"/>
              <w:spacing w:after="0" w:line="240" w:lineRule="auto"/>
              <w:jc w:val="center"/>
              <w:rPr>
                <w:rFonts w:cs="Times New Roman"/>
                <w:szCs w:val="24"/>
                <w:highlight w:val="none"/>
                <w:lang w:val="en-US"/>
              </w:rPr>
            </w:pPr>
          </w:p>
        </w:tc>
        <w:tc>
          <w:tcPr>
            <w:tcW w:w="1009" w:type="dxa"/>
            <w:tcBorders>
              <w:top w:val="single" w:color="000000" w:sz="16" w:space="0"/>
              <w:left w:val="single" w:color="000000" w:sz="16" w:space="0"/>
              <w:bottom w:val="single" w:color="000000" w:sz="16" w:space="0"/>
            </w:tcBorders>
            <w:shd w:val="clear" w:color="auto" w:fill="FFFFFF"/>
          </w:tcPr>
          <w:p w14:paraId="71F6F66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N</w:t>
            </w:r>
          </w:p>
        </w:tc>
        <w:tc>
          <w:tcPr>
            <w:tcW w:w="1009" w:type="dxa"/>
            <w:tcBorders>
              <w:top w:val="single" w:color="000000" w:sz="16" w:space="0"/>
              <w:bottom w:val="single" w:color="000000" w:sz="16" w:space="0"/>
            </w:tcBorders>
            <w:shd w:val="clear" w:color="auto" w:fill="FFFFFF"/>
          </w:tcPr>
          <w:p w14:paraId="7160ECA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Mean</w:t>
            </w:r>
          </w:p>
        </w:tc>
        <w:tc>
          <w:tcPr>
            <w:tcW w:w="1422" w:type="dxa"/>
            <w:tcBorders>
              <w:top w:val="single" w:color="000000" w:sz="16" w:space="0"/>
              <w:bottom w:val="single" w:color="000000" w:sz="16" w:space="0"/>
            </w:tcBorders>
            <w:shd w:val="clear" w:color="auto" w:fill="FFFFFF"/>
          </w:tcPr>
          <w:p w14:paraId="1FAAD1A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Std. Deviation</w:t>
            </w:r>
          </w:p>
        </w:tc>
        <w:tc>
          <w:tcPr>
            <w:tcW w:w="1468" w:type="dxa"/>
            <w:tcBorders>
              <w:top w:val="single" w:color="000000" w:sz="16" w:space="0"/>
              <w:bottom w:val="single" w:color="000000" w:sz="16" w:space="0"/>
              <w:right w:val="single" w:color="000000" w:sz="16" w:space="0"/>
            </w:tcBorders>
            <w:shd w:val="clear" w:color="auto" w:fill="FFFFFF"/>
          </w:tcPr>
          <w:p w14:paraId="71270F1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Std. Error Mean</w:t>
            </w:r>
          </w:p>
        </w:tc>
      </w:tr>
      <w:tr w14:paraId="78564F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4" w:type="dxa"/>
            <w:tcBorders>
              <w:top w:val="single" w:color="000000" w:sz="16" w:space="0"/>
              <w:left w:val="single" w:color="000000" w:sz="16" w:space="0"/>
              <w:bottom w:val="nil"/>
              <w:right w:val="single" w:color="000000" w:sz="16" w:space="0"/>
            </w:tcBorders>
            <w:shd w:val="clear" w:color="auto" w:fill="FFFFFF"/>
            <w:vAlign w:val="center"/>
          </w:tcPr>
          <w:p w14:paraId="5DA5A81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Q1.</w:t>
            </w:r>
          </w:p>
        </w:tc>
        <w:tc>
          <w:tcPr>
            <w:tcW w:w="1009" w:type="dxa"/>
            <w:tcBorders>
              <w:top w:val="single" w:color="000000" w:sz="16" w:space="0"/>
              <w:left w:val="single" w:color="000000" w:sz="16" w:space="0"/>
              <w:bottom w:val="nil"/>
            </w:tcBorders>
            <w:shd w:val="clear" w:color="auto" w:fill="FFFFFF"/>
          </w:tcPr>
          <w:p w14:paraId="526B063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1009" w:type="dxa"/>
            <w:tcBorders>
              <w:top w:val="single" w:color="000000" w:sz="16" w:space="0"/>
              <w:bottom w:val="nil"/>
            </w:tcBorders>
            <w:shd w:val="clear" w:color="auto" w:fill="FFFFFF"/>
          </w:tcPr>
          <w:p w14:paraId="33F05E2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2.65</w:t>
            </w:r>
          </w:p>
        </w:tc>
        <w:tc>
          <w:tcPr>
            <w:tcW w:w="1422" w:type="dxa"/>
            <w:tcBorders>
              <w:top w:val="single" w:color="000000" w:sz="16" w:space="0"/>
              <w:bottom w:val="nil"/>
            </w:tcBorders>
            <w:shd w:val="clear" w:color="auto" w:fill="FFFFFF"/>
          </w:tcPr>
          <w:p w14:paraId="3AF20E2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1.495</w:t>
            </w:r>
          </w:p>
        </w:tc>
        <w:tc>
          <w:tcPr>
            <w:tcW w:w="1468" w:type="dxa"/>
            <w:tcBorders>
              <w:top w:val="single" w:color="000000" w:sz="16" w:space="0"/>
              <w:bottom w:val="nil"/>
              <w:right w:val="single" w:color="000000" w:sz="16" w:space="0"/>
            </w:tcBorders>
            <w:shd w:val="clear" w:color="auto" w:fill="FFFFFF"/>
          </w:tcPr>
          <w:p w14:paraId="01EA71A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.089</w:t>
            </w:r>
          </w:p>
        </w:tc>
      </w:tr>
      <w:tr w14:paraId="659399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4" w:type="dxa"/>
            <w:tcBorders>
              <w:top w:val="nil"/>
              <w:left w:val="single" w:color="000000" w:sz="16" w:space="0"/>
              <w:bottom w:val="nil"/>
              <w:right w:val="single" w:color="000000" w:sz="16" w:space="0"/>
            </w:tcBorders>
            <w:shd w:val="clear" w:color="auto" w:fill="FFFFFF"/>
            <w:vAlign w:val="center"/>
          </w:tcPr>
          <w:p w14:paraId="279ECBD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Q2.</w:t>
            </w:r>
          </w:p>
        </w:tc>
        <w:tc>
          <w:tcPr>
            <w:tcW w:w="1009" w:type="dxa"/>
            <w:tcBorders>
              <w:top w:val="nil"/>
              <w:left w:val="single" w:color="000000" w:sz="16" w:space="0"/>
              <w:bottom w:val="nil"/>
            </w:tcBorders>
            <w:shd w:val="clear" w:color="auto" w:fill="FFFFFF"/>
          </w:tcPr>
          <w:p w14:paraId="0BC0714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1009" w:type="dxa"/>
            <w:tcBorders>
              <w:top w:val="nil"/>
              <w:bottom w:val="nil"/>
            </w:tcBorders>
            <w:shd w:val="clear" w:color="auto" w:fill="FFFFFF"/>
          </w:tcPr>
          <w:p w14:paraId="5030543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3.63</w:t>
            </w:r>
          </w:p>
        </w:tc>
        <w:tc>
          <w:tcPr>
            <w:tcW w:w="1422" w:type="dxa"/>
            <w:tcBorders>
              <w:top w:val="nil"/>
              <w:bottom w:val="nil"/>
            </w:tcBorders>
            <w:shd w:val="clear" w:color="auto" w:fill="FFFFFF"/>
          </w:tcPr>
          <w:p w14:paraId="3D024A0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1.501</w:t>
            </w:r>
          </w:p>
        </w:tc>
        <w:tc>
          <w:tcPr>
            <w:tcW w:w="1468" w:type="dxa"/>
            <w:tcBorders>
              <w:top w:val="nil"/>
              <w:bottom w:val="nil"/>
              <w:right w:val="single" w:color="000000" w:sz="16" w:space="0"/>
            </w:tcBorders>
            <w:shd w:val="clear" w:color="auto" w:fill="FFFFFF"/>
          </w:tcPr>
          <w:p w14:paraId="7EBDE93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.089</w:t>
            </w:r>
          </w:p>
        </w:tc>
      </w:tr>
      <w:tr w14:paraId="621282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4" w:type="dxa"/>
            <w:tcBorders>
              <w:top w:val="nil"/>
              <w:left w:val="single" w:color="000000" w:sz="16" w:space="0"/>
              <w:bottom w:val="nil"/>
              <w:right w:val="single" w:color="000000" w:sz="16" w:space="0"/>
            </w:tcBorders>
            <w:shd w:val="clear" w:color="auto" w:fill="FFFFFF"/>
            <w:vAlign w:val="center"/>
          </w:tcPr>
          <w:p w14:paraId="16F6407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Q3.</w:t>
            </w:r>
          </w:p>
        </w:tc>
        <w:tc>
          <w:tcPr>
            <w:tcW w:w="1009" w:type="dxa"/>
            <w:tcBorders>
              <w:top w:val="nil"/>
              <w:left w:val="single" w:color="000000" w:sz="16" w:space="0"/>
              <w:bottom w:val="nil"/>
            </w:tcBorders>
            <w:shd w:val="clear" w:color="auto" w:fill="FFFFFF"/>
          </w:tcPr>
          <w:p w14:paraId="1C6F49A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1009" w:type="dxa"/>
            <w:tcBorders>
              <w:top w:val="nil"/>
              <w:bottom w:val="nil"/>
            </w:tcBorders>
            <w:shd w:val="clear" w:color="auto" w:fill="FFFFFF"/>
          </w:tcPr>
          <w:p w14:paraId="7A85021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2.89</w:t>
            </w:r>
          </w:p>
        </w:tc>
        <w:tc>
          <w:tcPr>
            <w:tcW w:w="1422" w:type="dxa"/>
            <w:tcBorders>
              <w:top w:val="nil"/>
              <w:bottom w:val="nil"/>
            </w:tcBorders>
            <w:shd w:val="clear" w:color="auto" w:fill="FFFFFF"/>
          </w:tcPr>
          <w:p w14:paraId="41ADCD5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1.264</w:t>
            </w:r>
          </w:p>
        </w:tc>
        <w:tc>
          <w:tcPr>
            <w:tcW w:w="1468" w:type="dxa"/>
            <w:tcBorders>
              <w:top w:val="nil"/>
              <w:bottom w:val="nil"/>
              <w:right w:val="single" w:color="000000" w:sz="16" w:space="0"/>
            </w:tcBorders>
            <w:shd w:val="clear" w:color="auto" w:fill="FFFFFF"/>
          </w:tcPr>
          <w:p w14:paraId="14BD105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.075</w:t>
            </w:r>
          </w:p>
        </w:tc>
      </w:tr>
      <w:tr w14:paraId="572C3E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4" w:type="dxa"/>
            <w:tcBorders>
              <w:top w:val="nil"/>
              <w:left w:val="single" w:color="000000" w:sz="16" w:space="0"/>
              <w:bottom w:val="nil"/>
              <w:right w:val="single" w:color="000000" w:sz="16" w:space="0"/>
            </w:tcBorders>
            <w:shd w:val="clear" w:color="auto" w:fill="FFFFFF"/>
            <w:vAlign w:val="center"/>
          </w:tcPr>
          <w:p w14:paraId="42CAE08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Q4.</w:t>
            </w:r>
          </w:p>
        </w:tc>
        <w:tc>
          <w:tcPr>
            <w:tcW w:w="1009" w:type="dxa"/>
            <w:tcBorders>
              <w:top w:val="nil"/>
              <w:left w:val="single" w:color="000000" w:sz="16" w:space="0"/>
              <w:bottom w:val="nil"/>
            </w:tcBorders>
            <w:shd w:val="clear" w:color="auto" w:fill="FFFFFF"/>
          </w:tcPr>
          <w:p w14:paraId="1D72647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1009" w:type="dxa"/>
            <w:tcBorders>
              <w:top w:val="nil"/>
              <w:bottom w:val="nil"/>
            </w:tcBorders>
            <w:shd w:val="clear" w:color="auto" w:fill="FFFFFF"/>
          </w:tcPr>
          <w:p w14:paraId="31F7B07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3.40</w:t>
            </w:r>
          </w:p>
        </w:tc>
        <w:tc>
          <w:tcPr>
            <w:tcW w:w="1422" w:type="dxa"/>
            <w:tcBorders>
              <w:top w:val="nil"/>
              <w:bottom w:val="nil"/>
            </w:tcBorders>
            <w:shd w:val="clear" w:color="auto" w:fill="FFFFFF"/>
          </w:tcPr>
          <w:p w14:paraId="3081CD0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1.801</w:t>
            </w:r>
          </w:p>
        </w:tc>
        <w:tc>
          <w:tcPr>
            <w:tcW w:w="1468" w:type="dxa"/>
            <w:tcBorders>
              <w:top w:val="nil"/>
              <w:bottom w:val="nil"/>
              <w:right w:val="single" w:color="000000" w:sz="16" w:space="0"/>
            </w:tcBorders>
            <w:shd w:val="clear" w:color="auto" w:fill="FFFFFF"/>
          </w:tcPr>
          <w:p w14:paraId="752E2B5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.107</w:t>
            </w:r>
          </w:p>
        </w:tc>
      </w:tr>
      <w:tr w14:paraId="05593B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4" w:type="dxa"/>
            <w:tcBorders>
              <w:top w:val="nil"/>
              <w:left w:val="single" w:color="000000" w:sz="16" w:space="0"/>
              <w:bottom w:val="nil"/>
              <w:right w:val="single" w:color="000000" w:sz="16" w:space="0"/>
            </w:tcBorders>
            <w:shd w:val="clear" w:color="auto" w:fill="FFFFFF"/>
            <w:vAlign w:val="center"/>
          </w:tcPr>
          <w:p w14:paraId="568B871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Q5.</w:t>
            </w:r>
          </w:p>
        </w:tc>
        <w:tc>
          <w:tcPr>
            <w:tcW w:w="1009" w:type="dxa"/>
            <w:tcBorders>
              <w:top w:val="nil"/>
              <w:left w:val="single" w:color="000000" w:sz="16" w:space="0"/>
              <w:bottom w:val="nil"/>
            </w:tcBorders>
            <w:shd w:val="clear" w:color="auto" w:fill="FFFFFF"/>
          </w:tcPr>
          <w:p w14:paraId="7DF6F85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1009" w:type="dxa"/>
            <w:tcBorders>
              <w:top w:val="nil"/>
              <w:bottom w:val="nil"/>
            </w:tcBorders>
            <w:shd w:val="clear" w:color="auto" w:fill="FFFFFF"/>
          </w:tcPr>
          <w:p w14:paraId="00181B0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2.89</w:t>
            </w:r>
          </w:p>
        </w:tc>
        <w:tc>
          <w:tcPr>
            <w:tcW w:w="1422" w:type="dxa"/>
            <w:tcBorders>
              <w:top w:val="nil"/>
              <w:bottom w:val="nil"/>
            </w:tcBorders>
            <w:shd w:val="clear" w:color="auto" w:fill="FFFFFF"/>
          </w:tcPr>
          <w:p w14:paraId="3028B8E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1.265</w:t>
            </w:r>
          </w:p>
        </w:tc>
        <w:tc>
          <w:tcPr>
            <w:tcW w:w="1468" w:type="dxa"/>
            <w:tcBorders>
              <w:top w:val="nil"/>
              <w:bottom w:val="nil"/>
              <w:right w:val="single" w:color="000000" w:sz="16" w:space="0"/>
            </w:tcBorders>
            <w:shd w:val="clear" w:color="auto" w:fill="FFFFFF"/>
          </w:tcPr>
          <w:p w14:paraId="2ED1F99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.075</w:t>
            </w:r>
          </w:p>
        </w:tc>
      </w:tr>
      <w:tr w14:paraId="11C4C1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4" w:type="dxa"/>
            <w:tcBorders>
              <w:top w:val="nil"/>
              <w:left w:val="single" w:color="000000" w:sz="16" w:space="0"/>
              <w:bottom w:val="nil"/>
              <w:right w:val="single" w:color="000000" w:sz="16" w:space="0"/>
            </w:tcBorders>
            <w:shd w:val="clear" w:color="auto" w:fill="FFFFFF"/>
            <w:vAlign w:val="center"/>
          </w:tcPr>
          <w:p w14:paraId="3DF678E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Q6.</w:t>
            </w:r>
          </w:p>
        </w:tc>
        <w:tc>
          <w:tcPr>
            <w:tcW w:w="1009" w:type="dxa"/>
            <w:tcBorders>
              <w:top w:val="nil"/>
              <w:left w:val="single" w:color="000000" w:sz="16" w:space="0"/>
              <w:bottom w:val="nil"/>
            </w:tcBorders>
            <w:shd w:val="clear" w:color="auto" w:fill="FFFFFF"/>
          </w:tcPr>
          <w:p w14:paraId="5958541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1009" w:type="dxa"/>
            <w:tcBorders>
              <w:top w:val="nil"/>
              <w:bottom w:val="nil"/>
            </w:tcBorders>
            <w:shd w:val="clear" w:color="auto" w:fill="FFFFFF"/>
          </w:tcPr>
          <w:p w14:paraId="4B532CE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3.39</w:t>
            </w:r>
          </w:p>
        </w:tc>
        <w:tc>
          <w:tcPr>
            <w:tcW w:w="1422" w:type="dxa"/>
            <w:tcBorders>
              <w:top w:val="nil"/>
              <w:bottom w:val="nil"/>
            </w:tcBorders>
            <w:shd w:val="clear" w:color="auto" w:fill="FFFFFF"/>
          </w:tcPr>
          <w:p w14:paraId="69FDFA0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1.799</w:t>
            </w:r>
          </w:p>
        </w:tc>
        <w:tc>
          <w:tcPr>
            <w:tcW w:w="1468" w:type="dxa"/>
            <w:tcBorders>
              <w:top w:val="nil"/>
              <w:bottom w:val="nil"/>
              <w:right w:val="single" w:color="000000" w:sz="16" w:space="0"/>
            </w:tcBorders>
            <w:shd w:val="clear" w:color="auto" w:fill="FFFFFF"/>
          </w:tcPr>
          <w:p w14:paraId="2BB585A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.107</w:t>
            </w:r>
          </w:p>
        </w:tc>
      </w:tr>
      <w:tr w14:paraId="5A4D41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4" w:type="dxa"/>
            <w:tcBorders>
              <w:top w:val="nil"/>
              <w:left w:val="single" w:color="000000" w:sz="16" w:space="0"/>
              <w:bottom w:val="nil"/>
              <w:right w:val="single" w:color="000000" w:sz="16" w:space="0"/>
            </w:tcBorders>
            <w:shd w:val="clear" w:color="auto" w:fill="FFFFFF"/>
            <w:vAlign w:val="center"/>
          </w:tcPr>
          <w:p w14:paraId="71CD7B1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Q7.</w:t>
            </w:r>
          </w:p>
        </w:tc>
        <w:tc>
          <w:tcPr>
            <w:tcW w:w="1009" w:type="dxa"/>
            <w:tcBorders>
              <w:top w:val="nil"/>
              <w:left w:val="single" w:color="000000" w:sz="16" w:space="0"/>
              <w:bottom w:val="nil"/>
            </w:tcBorders>
            <w:shd w:val="clear" w:color="auto" w:fill="FFFFFF"/>
          </w:tcPr>
          <w:p w14:paraId="1450D7A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1009" w:type="dxa"/>
            <w:tcBorders>
              <w:top w:val="nil"/>
              <w:bottom w:val="nil"/>
            </w:tcBorders>
            <w:shd w:val="clear" w:color="auto" w:fill="FFFFFF"/>
          </w:tcPr>
          <w:p w14:paraId="0CE4DAF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2.89</w:t>
            </w:r>
          </w:p>
        </w:tc>
        <w:tc>
          <w:tcPr>
            <w:tcW w:w="1422" w:type="dxa"/>
            <w:tcBorders>
              <w:top w:val="nil"/>
              <w:bottom w:val="nil"/>
            </w:tcBorders>
            <w:shd w:val="clear" w:color="auto" w:fill="FFFFFF"/>
          </w:tcPr>
          <w:p w14:paraId="7B8E842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1.264</w:t>
            </w:r>
          </w:p>
        </w:tc>
        <w:tc>
          <w:tcPr>
            <w:tcW w:w="1468" w:type="dxa"/>
            <w:tcBorders>
              <w:top w:val="nil"/>
              <w:bottom w:val="nil"/>
              <w:right w:val="single" w:color="000000" w:sz="16" w:space="0"/>
            </w:tcBorders>
            <w:shd w:val="clear" w:color="auto" w:fill="FFFFFF"/>
          </w:tcPr>
          <w:p w14:paraId="61CDAFB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.075</w:t>
            </w:r>
          </w:p>
        </w:tc>
      </w:tr>
      <w:tr w14:paraId="398B62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4" w:type="dxa"/>
            <w:tcBorders>
              <w:top w:val="nil"/>
              <w:left w:val="single" w:color="000000" w:sz="16" w:space="0"/>
              <w:bottom w:val="nil"/>
              <w:right w:val="single" w:color="000000" w:sz="16" w:space="0"/>
            </w:tcBorders>
            <w:shd w:val="clear" w:color="auto" w:fill="FFFFFF"/>
            <w:vAlign w:val="center"/>
          </w:tcPr>
          <w:p w14:paraId="67EFE16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Q8.</w:t>
            </w:r>
          </w:p>
        </w:tc>
        <w:tc>
          <w:tcPr>
            <w:tcW w:w="1009" w:type="dxa"/>
            <w:tcBorders>
              <w:top w:val="nil"/>
              <w:left w:val="single" w:color="000000" w:sz="16" w:space="0"/>
              <w:bottom w:val="nil"/>
            </w:tcBorders>
            <w:shd w:val="clear" w:color="auto" w:fill="FFFFFF"/>
          </w:tcPr>
          <w:p w14:paraId="7FAE3CC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1009" w:type="dxa"/>
            <w:tcBorders>
              <w:top w:val="nil"/>
              <w:bottom w:val="nil"/>
            </w:tcBorders>
            <w:shd w:val="clear" w:color="auto" w:fill="FFFFFF"/>
          </w:tcPr>
          <w:p w14:paraId="7D90B6A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3.39</w:t>
            </w:r>
          </w:p>
        </w:tc>
        <w:tc>
          <w:tcPr>
            <w:tcW w:w="1422" w:type="dxa"/>
            <w:tcBorders>
              <w:top w:val="nil"/>
              <w:bottom w:val="nil"/>
            </w:tcBorders>
            <w:shd w:val="clear" w:color="auto" w:fill="FFFFFF"/>
          </w:tcPr>
          <w:p w14:paraId="17A441D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1.804</w:t>
            </w:r>
          </w:p>
        </w:tc>
        <w:tc>
          <w:tcPr>
            <w:tcW w:w="1468" w:type="dxa"/>
            <w:tcBorders>
              <w:top w:val="nil"/>
              <w:bottom w:val="nil"/>
              <w:right w:val="single" w:color="000000" w:sz="16" w:space="0"/>
            </w:tcBorders>
            <w:shd w:val="clear" w:color="auto" w:fill="FFFFFF"/>
          </w:tcPr>
          <w:p w14:paraId="72D3A2A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.107</w:t>
            </w:r>
          </w:p>
        </w:tc>
      </w:tr>
      <w:tr w14:paraId="41613A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4" w:type="dxa"/>
            <w:tcBorders>
              <w:top w:val="nil"/>
              <w:left w:val="single" w:color="000000" w:sz="16" w:space="0"/>
              <w:bottom w:val="nil"/>
              <w:right w:val="single" w:color="000000" w:sz="16" w:space="0"/>
            </w:tcBorders>
            <w:shd w:val="clear" w:color="auto" w:fill="FFFFFF"/>
            <w:vAlign w:val="center"/>
          </w:tcPr>
          <w:p w14:paraId="3A9DFA3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Q9.</w:t>
            </w:r>
          </w:p>
        </w:tc>
        <w:tc>
          <w:tcPr>
            <w:tcW w:w="1009" w:type="dxa"/>
            <w:tcBorders>
              <w:top w:val="nil"/>
              <w:left w:val="single" w:color="000000" w:sz="16" w:space="0"/>
              <w:bottom w:val="nil"/>
            </w:tcBorders>
            <w:shd w:val="clear" w:color="auto" w:fill="FFFFFF"/>
          </w:tcPr>
          <w:p w14:paraId="13275CD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1009" w:type="dxa"/>
            <w:tcBorders>
              <w:top w:val="nil"/>
              <w:bottom w:val="nil"/>
            </w:tcBorders>
            <w:shd w:val="clear" w:color="auto" w:fill="FFFFFF"/>
          </w:tcPr>
          <w:p w14:paraId="2FF7A9B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2.89</w:t>
            </w:r>
          </w:p>
        </w:tc>
        <w:tc>
          <w:tcPr>
            <w:tcW w:w="1422" w:type="dxa"/>
            <w:tcBorders>
              <w:top w:val="nil"/>
              <w:bottom w:val="nil"/>
            </w:tcBorders>
            <w:shd w:val="clear" w:color="auto" w:fill="FFFFFF"/>
          </w:tcPr>
          <w:p w14:paraId="2B858DD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1.264</w:t>
            </w:r>
          </w:p>
        </w:tc>
        <w:tc>
          <w:tcPr>
            <w:tcW w:w="1468" w:type="dxa"/>
            <w:tcBorders>
              <w:top w:val="nil"/>
              <w:bottom w:val="nil"/>
              <w:right w:val="single" w:color="000000" w:sz="16" w:space="0"/>
            </w:tcBorders>
            <w:shd w:val="clear" w:color="auto" w:fill="FFFFFF"/>
          </w:tcPr>
          <w:p w14:paraId="13639D7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.075</w:t>
            </w:r>
          </w:p>
        </w:tc>
      </w:tr>
      <w:tr w14:paraId="198ECE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4" w:type="dxa"/>
            <w:tcBorders>
              <w:top w:val="nil"/>
              <w:left w:val="single" w:color="000000" w:sz="16" w:space="0"/>
              <w:bottom w:val="nil"/>
              <w:right w:val="single" w:color="000000" w:sz="16" w:space="0"/>
            </w:tcBorders>
            <w:shd w:val="clear" w:color="auto" w:fill="FFFFFF"/>
            <w:vAlign w:val="center"/>
          </w:tcPr>
          <w:p w14:paraId="07A4D1B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 10.</w:t>
            </w:r>
          </w:p>
        </w:tc>
        <w:tc>
          <w:tcPr>
            <w:tcW w:w="1009" w:type="dxa"/>
            <w:tcBorders>
              <w:top w:val="nil"/>
              <w:left w:val="single" w:color="000000" w:sz="16" w:space="0"/>
              <w:bottom w:val="nil"/>
            </w:tcBorders>
            <w:shd w:val="clear" w:color="auto" w:fill="FFFFFF"/>
          </w:tcPr>
          <w:p w14:paraId="27020E9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1009" w:type="dxa"/>
            <w:tcBorders>
              <w:top w:val="nil"/>
              <w:bottom w:val="nil"/>
            </w:tcBorders>
            <w:shd w:val="clear" w:color="auto" w:fill="FFFFFF"/>
          </w:tcPr>
          <w:p w14:paraId="62DD45A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3.65</w:t>
            </w:r>
          </w:p>
        </w:tc>
        <w:tc>
          <w:tcPr>
            <w:tcW w:w="1422" w:type="dxa"/>
            <w:tcBorders>
              <w:top w:val="nil"/>
              <w:bottom w:val="nil"/>
            </w:tcBorders>
            <w:shd w:val="clear" w:color="auto" w:fill="FFFFFF"/>
          </w:tcPr>
          <w:p w14:paraId="33E816E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1.495</w:t>
            </w:r>
          </w:p>
        </w:tc>
        <w:tc>
          <w:tcPr>
            <w:tcW w:w="1468" w:type="dxa"/>
            <w:tcBorders>
              <w:top w:val="nil"/>
              <w:bottom w:val="nil"/>
              <w:right w:val="single" w:color="000000" w:sz="16" w:space="0"/>
            </w:tcBorders>
            <w:shd w:val="clear" w:color="auto" w:fill="FFFFFF"/>
          </w:tcPr>
          <w:p w14:paraId="57808A4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.089</w:t>
            </w:r>
          </w:p>
        </w:tc>
      </w:tr>
      <w:tr w14:paraId="75BD9B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4" w:type="dxa"/>
            <w:tcBorders>
              <w:top w:val="nil"/>
              <w:left w:val="single" w:color="000000" w:sz="16" w:space="0"/>
              <w:bottom w:val="nil"/>
              <w:right w:val="single" w:color="000000" w:sz="16" w:space="0"/>
            </w:tcBorders>
            <w:shd w:val="clear" w:color="auto" w:fill="FFFFFF"/>
            <w:vAlign w:val="center"/>
          </w:tcPr>
          <w:p w14:paraId="6B70842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Q11.</w:t>
            </w:r>
          </w:p>
        </w:tc>
        <w:tc>
          <w:tcPr>
            <w:tcW w:w="1009" w:type="dxa"/>
            <w:tcBorders>
              <w:top w:val="nil"/>
              <w:left w:val="single" w:color="000000" w:sz="16" w:space="0"/>
              <w:bottom w:val="nil"/>
            </w:tcBorders>
            <w:shd w:val="clear" w:color="auto" w:fill="FFFFFF"/>
          </w:tcPr>
          <w:p w14:paraId="01E2C36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1009" w:type="dxa"/>
            <w:tcBorders>
              <w:top w:val="nil"/>
              <w:bottom w:val="nil"/>
            </w:tcBorders>
            <w:shd w:val="clear" w:color="auto" w:fill="FFFFFF"/>
          </w:tcPr>
          <w:p w14:paraId="1D85650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2.64</w:t>
            </w:r>
          </w:p>
        </w:tc>
        <w:tc>
          <w:tcPr>
            <w:tcW w:w="1422" w:type="dxa"/>
            <w:tcBorders>
              <w:top w:val="nil"/>
              <w:bottom w:val="nil"/>
            </w:tcBorders>
            <w:shd w:val="clear" w:color="auto" w:fill="FFFFFF"/>
          </w:tcPr>
          <w:p w14:paraId="19A5F9C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1.496</w:t>
            </w:r>
          </w:p>
        </w:tc>
        <w:tc>
          <w:tcPr>
            <w:tcW w:w="1468" w:type="dxa"/>
            <w:tcBorders>
              <w:top w:val="nil"/>
              <w:bottom w:val="nil"/>
              <w:right w:val="single" w:color="000000" w:sz="16" w:space="0"/>
            </w:tcBorders>
            <w:shd w:val="clear" w:color="auto" w:fill="FFFFFF"/>
          </w:tcPr>
          <w:p w14:paraId="2A40877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.089</w:t>
            </w:r>
          </w:p>
        </w:tc>
      </w:tr>
      <w:tr w14:paraId="70909F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4" w:type="dxa"/>
            <w:tcBorders>
              <w:top w:val="nil"/>
              <w:left w:val="single" w:color="000000" w:sz="16" w:space="0"/>
              <w:bottom w:val="nil"/>
              <w:right w:val="single" w:color="000000" w:sz="16" w:space="0"/>
            </w:tcBorders>
            <w:shd w:val="clear" w:color="auto" w:fill="FFFFFF"/>
            <w:vAlign w:val="center"/>
          </w:tcPr>
          <w:p w14:paraId="6FE9857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Q12.</w:t>
            </w:r>
          </w:p>
        </w:tc>
        <w:tc>
          <w:tcPr>
            <w:tcW w:w="1009" w:type="dxa"/>
            <w:tcBorders>
              <w:top w:val="nil"/>
              <w:left w:val="single" w:color="000000" w:sz="16" w:space="0"/>
              <w:bottom w:val="nil"/>
            </w:tcBorders>
            <w:shd w:val="clear" w:color="auto" w:fill="FFFFFF"/>
          </w:tcPr>
          <w:p w14:paraId="12F5684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288</w:t>
            </w:r>
          </w:p>
        </w:tc>
        <w:tc>
          <w:tcPr>
            <w:tcW w:w="1009" w:type="dxa"/>
            <w:tcBorders>
              <w:top w:val="nil"/>
              <w:bottom w:val="nil"/>
            </w:tcBorders>
            <w:shd w:val="clear" w:color="auto" w:fill="FFFFFF"/>
          </w:tcPr>
          <w:p w14:paraId="2DB90D6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3.66</w:t>
            </w:r>
          </w:p>
        </w:tc>
        <w:tc>
          <w:tcPr>
            <w:tcW w:w="1422" w:type="dxa"/>
            <w:tcBorders>
              <w:top w:val="nil"/>
              <w:bottom w:val="nil"/>
            </w:tcBorders>
            <w:shd w:val="clear" w:color="auto" w:fill="FFFFFF"/>
          </w:tcPr>
          <w:p w14:paraId="6BA4D03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1.484</w:t>
            </w:r>
          </w:p>
        </w:tc>
        <w:tc>
          <w:tcPr>
            <w:tcW w:w="1468" w:type="dxa"/>
            <w:tcBorders>
              <w:top w:val="nil"/>
              <w:bottom w:val="nil"/>
              <w:right w:val="single" w:color="000000" w:sz="16" w:space="0"/>
            </w:tcBorders>
            <w:shd w:val="clear" w:color="auto" w:fill="FFFFFF"/>
          </w:tcPr>
          <w:p w14:paraId="4929516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.087</w:t>
            </w:r>
          </w:p>
        </w:tc>
      </w:tr>
      <w:tr w14:paraId="7861B4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4" w:type="dxa"/>
            <w:tcBorders>
              <w:top w:val="nil"/>
              <w:left w:val="single" w:color="000000" w:sz="16" w:space="0"/>
              <w:bottom w:val="nil"/>
              <w:right w:val="single" w:color="000000" w:sz="16" w:space="0"/>
            </w:tcBorders>
            <w:shd w:val="clear" w:color="auto" w:fill="FFFFFF"/>
            <w:vAlign w:val="center"/>
          </w:tcPr>
          <w:p w14:paraId="133D4D6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Q13.</w:t>
            </w:r>
          </w:p>
        </w:tc>
        <w:tc>
          <w:tcPr>
            <w:tcW w:w="1009" w:type="dxa"/>
            <w:tcBorders>
              <w:top w:val="nil"/>
              <w:left w:val="single" w:color="000000" w:sz="16" w:space="0"/>
              <w:bottom w:val="nil"/>
            </w:tcBorders>
            <w:shd w:val="clear" w:color="auto" w:fill="FFFFFF"/>
          </w:tcPr>
          <w:p w14:paraId="1768A80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1009" w:type="dxa"/>
            <w:tcBorders>
              <w:top w:val="nil"/>
              <w:bottom w:val="nil"/>
            </w:tcBorders>
            <w:shd w:val="clear" w:color="auto" w:fill="FFFFFF"/>
          </w:tcPr>
          <w:p w14:paraId="5B0E5FD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2.65</w:t>
            </w:r>
          </w:p>
        </w:tc>
        <w:tc>
          <w:tcPr>
            <w:tcW w:w="1422" w:type="dxa"/>
            <w:tcBorders>
              <w:top w:val="nil"/>
              <w:bottom w:val="nil"/>
            </w:tcBorders>
            <w:shd w:val="clear" w:color="auto" w:fill="FFFFFF"/>
          </w:tcPr>
          <w:p w14:paraId="1C66111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1.493</w:t>
            </w:r>
          </w:p>
        </w:tc>
        <w:tc>
          <w:tcPr>
            <w:tcW w:w="1468" w:type="dxa"/>
            <w:tcBorders>
              <w:top w:val="nil"/>
              <w:bottom w:val="nil"/>
              <w:right w:val="single" w:color="000000" w:sz="16" w:space="0"/>
            </w:tcBorders>
            <w:shd w:val="clear" w:color="auto" w:fill="FFFFFF"/>
          </w:tcPr>
          <w:p w14:paraId="7289778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.089</w:t>
            </w:r>
          </w:p>
        </w:tc>
      </w:tr>
      <w:tr w14:paraId="135C93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4" w:type="dxa"/>
            <w:tcBorders>
              <w:top w:val="nil"/>
              <w:left w:val="single" w:color="000000" w:sz="16" w:space="0"/>
              <w:bottom w:val="nil"/>
              <w:right w:val="single" w:color="000000" w:sz="16" w:space="0"/>
            </w:tcBorders>
            <w:shd w:val="clear" w:color="auto" w:fill="FFFFFF"/>
            <w:vAlign w:val="center"/>
          </w:tcPr>
          <w:p w14:paraId="317ED02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Q14.</w:t>
            </w:r>
          </w:p>
        </w:tc>
        <w:tc>
          <w:tcPr>
            <w:tcW w:w="1009" w:type="dxa"/>
            <w:tcBorders>
              <w:top w:val="nil"/>
              <w:left w:val="single" w:color="000000" w:sz="16" w:space="0"/>
              <w:bottom w:val="nil"/>
            </w:tcBorders>
            <w:shd w:val="clear" w:color="auto" w:fill="FFFFFF"/>
          </w:tcPr>
          <w:p w14:paraId="7330A13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1009" w:type="dxa"/>
            <w:tcBorders>
              <w:top w:val="nil"/>
              <w:bottom w:val="nil"/>
            </w:tcBorders>
            <w:shd w:val="clear" w:color="auto" w:fill="FFFFFF"/>
          </w:tcPr>
          <w:p w14:paraId="047D5C3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3.65</w:t>
            </w:r>
          </w:p>
        </w:tc>
        <w:tc>
          <w:tcPr>
            <w:tcW w:w="1422" w:type="dxa"/>
            <w:tcBorders>
              <w:top w:val="nil"/>
              <w:bottom w:val="nil"/>
            </w:tcBorders>
            <w:shd w:val="clear" w:color="auto" w:fill="FFFFFF"/>
          </w:tcPr>
          <w:p w14:paraId="497C832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1.495</w:t>
            </w:r>
          </w:p>
        </w:tc>
        <w:tc>
          <w:tcPr>
            <w:tcW w:w="1468" w:type="dxa"/>
            <w:tcBorders>
              <w:top w:val="nil"/>
              <w:bottom w:val="nil"/>
              <w:right w:val="single" w:color="000000" w:sz="16" w:space="0"/>
            </w:tcBorders>
            <w:shd w:val="clear" w:color="auto" w:fill="FFFFFF"/>
          </w:tcPr>
          <w:p w14:paraId="45594C7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.089</w:t>
            </w:r>
          </w:p>
        </w:tc>
      </w:tr>
      <w:tr w14:paraId="4E7400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4" w:type="dxa"/>
            <w:tcBorders>
              <w:top w:val="nil"/>
              <w:left w:val="single" w:color="000000" w:sz="16" w:space="0"/>
              <w:bottom w:val="single" w:color="000000" w:sz="16" w:space="0"/>
              <w:right w:val="single" w:color="000000" w:sz="16" w:space="0"/>
            </w:tcBorders>
            <w:shd w:val="clear" w:color="auto" w:fill="FFFFFF"/>
            <w:vAlign w:val="center"/>
          </w:tcPr>
          <w:p w14:paraId="216311F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Q15.</w:t>
            </w:r>
          </w:p>
        </w:tc>
        <w:tc>
          <w:tcPr>
            <w:tcW w:w="1009" w:type="dxa"/>
            <w:tcBorders>
              <w:top w:val="nil"/>
              <w:left w:val="single" w:color="000000" w:sz="16" w:space="0"/>
              <w:bottom w:val="single" w:color="000000" w:sz="16" w:space="0"/>
            </w:tcBorders>
            <w:shd w:val="clear" w:color="auto" w:fill="FFFFFF"/>
          </w:tcPr>
          <w:p w14:paraId="598A1A5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c>
          <w:tcPr>
            <w:tcW w:w="1009" w:type="dxa"/>
            <w:tcBorders>
              <w:top w:val="nil"/>
              <w:bottom w:val="single" w:color="000000" w:sz="16" w:space="0"/>
            </w:tcBorders>
            <w:shd w:val="clear" w:color="auto" w:fill="FFFFFF"/>
          </w:tcPr>
          <w:p w14:paraId="580224A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2.65</w:t>
            </w:r>
          </w:p>
        </w:tc>
        <w:tc>
          <w:tcPr>
            <w:tcW w:w="1422" w:type="dxa"/>
            <w:tcBorders>
              <w:top w:val="nil"/>
              <w:bottom w:val="single" w:color="000000" w:sz="16" w:space="0"/>
            </w:tcBorders>
            <w:shd w:val="clear" w:color="auto" w:fill="FFFFFF"/>
          </w:tcPr>
          <w:p w14:paraId="3818C41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1.495</w:t>
            </w:r>
          </w:p>
        </w:tc>
        <w:tc>
          <w:tcPr>
            <w:tcW w:w="1468" w:type="dxa"/>
            <w:tcBorders>
              <w:top w:val="nil"/>
              <w:bottom w:val="single" w:color="000000" w:sz="16" w:space="0"/>
              <w:right w:val="single" w:color="000000" w:sz="16" w:space="0"/>
            </w:tcBorders>
            <w:shd w:val="clear" w:color="auto" w:fill="FFFFFF"/>
          </w:tcPr>
          <w:p w14:paraId="0484FE6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.089</w:t>
            </w:r>
          </w:p>
        </w:tc>
      </w:tr>
    </w:tbl>
    <w:p w14:paraId="1BC6C9D5">
      <w:pPr>
        <w:autoSpaceDE w:val="0"/>
        <w:autoSpaceDN w:val="0"/>
        <w:adjustRightInd w:val="0"/>
        <w:spacing w:after="0" w:line="400" w:lineRule="atLeast"/>
        <w:jc w:val="center"/>
        <w:rPr>
          <w:rFonts w:cs="Times New Roman"/>
          <w:szCs w:val="24"/>
          <w:highlight w:val="none"/>
          <w:lang w:val="en-US"/>
        </w:rPr>
      </w:pPr>
      <w:r>
        <w:rPr>
          <w:rFonts w:cs="Times New Roman"/>
          <w:szCs w:val="24"/>
          <w:highlight w:val="none"/>
          <w:lang w:val="en-US"/>
        </w:rPr>
        <w:br w:type="textWrapping" w:clear="all"/>
      </w:r>
    </w:p>
    <w:p w14:paraId="7B304E30">
      <w:pPr>
        <w:autoSpaceDE w:val="0"/>
        <w:autoSpaceDN w:val="0"/>
        <w:adjustRightInd w:val="0"/>
        <w:spacing w:after="0" w:line="240" w:lineRule="auto"/>
        <w:jc w:val="center"/>
        <w:rPr>
          <w:rFonts w:cs="Times New Roman"/>
          <w:szCs w:val="24"/>
          <w:highlight w:val="none"/>
          <w:lang w:val="en-US"/>
        </w:rPr>
      </w:pPr>
    </w:p>
    <w:tbl>
      <w:tblPr>
        <w:tblStyle w:val="12"/>
        <w:tblW w:w="8551"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4"/>
        <w:gridCol w:w="1009"/>
        <w:gridCol w:w="1009"/>
        <w:gridCol w:w="1392"/>
        <w:gridCol w:w="1469"/>
        <w:gridCol w:w="1469"/>
        <w:gridCol w:w="1469"/>
      </w:tblGrid>
      <w:tr w14:paraId="3CE029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8548" w:type="dxa"/>
            <w:gridSpan w:val="7"/>
            <w:tcBorders>
              <w:top w:val="nil"/>
              <w:left w:val="nil"/>
              <w:bottom w:val="nil"/>
              <w:right w:val="nil"/>
            </w:tcBorders>
            <w:shd w:val="clear" w:color="auto" w:fill="FFFFFF"/>
          </w:tcPr>
          <w:p w14:paraId="3E72DDD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b/>
                <w:bCs/>
                <w:color w:val="000000"/>
                <w:sz w:val="18"/>
                <w:szCs w:val="18"/>
                <w:highlight w:val="none"/>
                <w:lang w:val="en-US"/>
              </w:rPr>
              <w:t>One-Sample Test</w:t>
            </w:r>
          </w:p>
        </w:tc>
      </w:tr>
      <w:tr w14:paraId="32DEFD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4" w:type="dxa"/>
            <w:vMerge w:val="restart"/>
            <w:tcBorders>
              <w:top w:val="single" w:color="000000" w:sz="16" w:space="0"/>
              <w:left w:val="single" w:color="000000" w:sz="16" w:space="0"/>
              <w:bottom w:val="nil"/>
              <w:right w:val="single" w:color="000000" w:sz="16" w:space="0"/>
            </w:tcBorders>
            <w:shd w:val="clear" w:color="auto" w:fill="FFFFFF"/>
          </w:tcPr>
          <w:p w14:paraId="1A0B21F8">
            <w:pPr>
              <w:autoSpaceDE w:val="0"/>
              <w:autoSpaceDN w:val="0"/>
              <w:adjustRightInd w:val="0"/>
              <w:spacing w:after="0" w:line="240" w:lineRule="auto"/>
              <w:jc w:val="center"/>
              <w:rPr>
                <w:rFonts w:cs="Times New Roman"/>
                <w:szCs w:val="24"/>
                <w:highlight w:val="none"/>
                <w:lang w:val="en-US"/>
              </w:rPr>
            </w:pPr>
          </w:p>
        </w:tc>
        <w:tc>
          <w:tcPr>
            <w:tcW w:w="7814" w:type="dxa"/>
            <w:gridSpan w:val="6"/>
            <w:tcBorders>
              <w:top w:val="single" w:color="000000" w:sz="16" w:space="0"/>
              <w:left w:val="single" w:color="000000" w:sz="16" w:space="0"/>
            </w:tcBorders>
            <w:shd w:val="clear" w:color="auto" w:fill="FFFFFF"/>
          </w:tcPr>
          <w:p w14:paraId="64629EA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Test Value = 0</w:t>
            </w:r>
          </w:p>
        </w:tc>
      </w:tr>
      <w:tr w14:paraId="0EA20F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4" w:type="dxa"/>
            <w:vMerge w:val="continue"/>
            <w:tcBorders>
              <w:top w:val="single" w:color="000000" w:sz="16" w:space="0"/>
              <w:left w:val="single" w:color="000000" w:sz="16" w:space="0"/>
              <w:bottom w:val="nil"/>
              <w:right w:val="single" w:color="000000" w:sz="16" w:space="0"/>
            </w:tcBorders>
            <w:shd w:val="clear" w:color="auto" w:fill="FFFFFF"/>
          </w:tcPr>
          <w:p w14:paraId="18D9BA6E">
            <w:pPr>
              <w:autoSpaceDE w:val="0"/>
              <w:autoSpaceDN w:val="0"/>
              <w:adjustRightInd w:val="0"/>
              <w:spacing w:after="0" w:line="240" w:lineRule="auto"/>
              <w:jc w:val="center"/>
              <w:rPr>
                <w:rFonts w:ascii="Arial" w:hAnsi="Arial" w:cs="Arial"/>
                <w:color w:val="000000"/>
                <w:sz w:val="18"/>
                <w:szCs w:val="18"/>
                <w:highlight w:val="none"/>
                <w:lang w:val="en-US"/>
              </w:rPr>
            </w:pPr>
          </w:p>
        </w:tc>
        <w:tc>
          <w:tcPr>
            <w:tcW w:w="1009" w:type="dxa"/>
            <w:vMerge w:val="restart"/>
            <w:tcBorders>
              <w:left w:val="single" w:color="000000" w:sz="16" w:space="0"/>
            </w:tcBorders>
            <w:shd w:val="clear" w:color="auto" w:fill="FFFFFF"/>
          </w:tcPr>
          <w:p w14:paraId="30290EC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t</w:t>
            </w:r>
          </w:p>
        </w:tc>
        <w:tc>
          <w:tcPr>
            <w:tcW w:w="1009" w:type="dxa"/>
            <w:vMerge w:val="restart"/>
            <w:shd w:val="clear" w:color="auto" w:fill="FFFFFF"/>
          </w:tcPr>
          <w:p w14:paraId="27ED0FB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df</w:t>
            </w:r>
          </w:p>
        </w:tc>
        <w:tc>
          <w:tcPr>
            <w:tcW w:w="1392" w:type="dxa"/>
            <w:vMerge w:val="restart"/>
            <w:shd w:val="clear" w:color="auto" w:fill="FFFFFF"/>
          </w:tcPr>
          <w:p w14:paraId="73A0E74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Sig. (2-tailed)</w:t>
            </w:r>
          </w:p>
        </w:tc>
        <w:tc>
          <w:tcPr>
            <w:tcW w:w="1468" w:type="dxa"/>
            <w:vMerge w:val="restart"/>
            <w:shd w:val="clear" w:color="auto" w:fill="FFFFFF"/>
          </w:tcPr>
          <w:p w14:paraId="09E1FA4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Mean Difference</w:t>
            </w:r>
          </w:p>
        </w:tc>
        <w:tc>
          <w:tcPr>
            <w:tcW w:w="2936" w:type="dxa"/>
            <w:gridSpan w:val="2"/>
            <w:shd w:val="clear" w:color="auto" w:fill="FFFFFF"/>
          </w:tcPr>
          <w:p w14:paraId="0EEFEBF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95% Confidence Interval of the Difference</w:t>
            </w:r>
          </w:p>
        </w:tc>
      </w:tr>
      <w:tr w14:paraId="7E25E0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4" w:type="dxa"/>
            <w:vMerge w:val="continue"/>
            <w:tcBorders>
              <w:top w:val="single" w:color="000000" w:sz="16" w:space="0"/>
              <w:left w:val="single" w:color="000000" w:sz="16" w:space="0"/>
              <w:bottom w:val="nil"/>
              <w:right w:val="single" w:color="000000" w:sz="16" w:space="0"/>
            </w:tcBorders>
            <w:shd w:val="clear" w:color="auto" w:fill="FFFFFF"/>
          </w:tcPr>
          <w:p w14:paraId="7B796332">
            <w:pPr>
              <w:autoSpaceDE w:val="0"/>
              <w:autoSpaceDN w:val="0"/>
              <w:adjustRightInd w:val="0"/>
              <w:spacing w:after="0" w:line="240" w:lineRule="auto"/>
              <w:jc w:val="center"/>
              <w:rPr>
                <w:rFonts w:ascii="Arial" w:hAnsi="Arial" w:cs="Arial"/>
                <w:color w:val="000000"/>
                <w:sz w:val="18"/>
                <w:szCs w:val="18"/>
                <w:highlight w:val="none"/>
                <w:lang w:val="en-US"/>
              </w:rPr>
            </w:pPr>
          </w:p>
        </w:tc>
        <w:tc>
          <w:tcPr>
            <w:tcW w:w="1009" w:type="dxa"/>
            <w:vMerge w:val="continue"/>
            <w:tcBorders>
              <w:left w:val="single" w:color="000000" w:sz="16" w:space="0"/>
            </w:tcBorders>
            <w:shd w:val="clear" w:color="auto" w:fill="FFFFFF"/>
          </w:tcPr>
          <w:p w14:paraId="67E92DB1">
            <w:pPr>
              <w:autoSpaceDE w:val="0"/>
              <w:autoSpaceDN w:val="0"/>
              <w:adjustRightInd w:val="0"/>
              <w:spacing w:after="0" w:line="240" w:lineRule="auto"/>
              <w:jc w:val="center"/>
              <w:rPr>
                <w:rFonts w:ascii="Arial" w:hAnsi="Arial" w:cs="Arial"/>
                <w:color w:val="000000"/>
                <w:sz w:val="18"/>
                <w:szCs w:val="18"/>
                <w:highlight w:val="none"/>
                <w:lang w:val="en-US"/>
              </w:rPr>
            </w:pPr>
          </w:p>
        </w:tc>
        <w:tc>
          <w:tcPr>
            <w:tcW w:w="1009" w:type="dxa"/>
            <w:vMerge w:val="continue"/>
            <w:shd w:val="clear" w:color="auto" w:fill="FFFFFF"/>
          </w:tcPr>
          <w:p w14:paraId="5366EE43">
            <w:pPr>
              <w:autoSpaceDE w:val="0"/>
              <w:autoSpaceDN w:val="0"/>
              <w:adjustRightInd w:val="0"/>
              <w:spacing w:after="0" w:line="240" w:lineRule="auto"/>
              <w:jc w:val="center"/>
              <w:rPr>
                <w:rFonts w:ascii="Arial" w:hAnsi="Arial" w:cs="Arial"/>
                <w:color w:val="000000"/>
                <w:sz w:val="18"/>
                <w:szCs w:val="18"/>
                <w:highlight w:val="none"/>
                <w:lang w:val="en-US"/>
              </w:rPr>
            </w:pPr>
          </w:p>
        </w:tc>
        <w:tc>
          <w:tcPr>
            <w:tcW w:w="1392" w:type="dxa"/>
            <w:vMerge w:val="continue"/>
            <w:shd w:val="clear" w:color="auto" w:fill="FFFFFF"/>
          </w:tcPr>
          <w:p w14:paraId="68F38699">
            <w:pPr>
              <w:autoSpaceDE w:val="0"/>
              <w:autoSpaceDN w:val="0"/>
              <w:adjustRightInd w:val="0"/>
              <w:spacing w:after="0" w:line="240" w:lineRule="auto"/>
              <w:jc w:val="center"/>
              <w:rPr>
                <w:rFonts w:ascii="Arial" w:hAnsi="Arial" w:cs="Arial"/>
                <w:color w:val="000000"/>
                <w:sz w:val="18"/>
                <w:szCs w:val="18"/>
                <w:highlight w:val="none"/>
                <w:lang w:val="en-US"/>
              </w:rPr>
            </w:pPr>
          </w:p>
        </w:tc>
        <w:tc>
          <w:tcPr>
            <w:tcW w:w="1468" w:type="dxa"/>
            <w:vMerge w:val="continue"/>
            <w:shd w:val="clear" w:color="auto" w:fill="FFFFFF"/>
          </w:tcPr>
          <w:p w14:paraId="0D408BC3">
            <w:pPr>
              <w:autoSpaceDE w:val="0"/>
              <w:autoSpaceDN w:val="0"/>
              <w:adjustRightInd w:val="0"/>
              <w:spacing w:after="0" w:line="240" w:lineRule="auto"/>
              <w:jc w:val="center"/>
              <w:rPr>
                <w:rFonts w:ascii="Arial" w:hAnsi="Arial" w:cs="Arial"/>
                <w:color w:val="000000"/>
                <w:sz w:val="18"/>
                <w:szCs w:val="18"/>
                <w:highlight w:val="none"/>
                <w:lang w:val="en-US"/>
              </w:rPr>
            </w:pPr>
          </w:p>
        </w:tc>
        <w:tc>
          <w:tcPr>
            <w:tcW w:w="1468" w:type="dxa"/>
            <w:tcBorders>
              <w:bottom w:val="single" w:color="000000" w:sz="16" w:space="0"/>
            </w:tcBorders>
            <w:shd w:val="clear" w:color="auto" w:fill="FFFFFF"/>
          </w:tcPr>
          <w:p w14:paraId="595EB97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Lower</w:t>
            </w:r>
          </w:p>
        </w:tc>
        <w:tc>
          <w:tcPr>
            <w:tcW w:w="1468" w:type="dxa"/>
            <w:tcBorders>
              <w:bottom w:val="single" w:color="000000" w:sz="16" w:space="0"/>
              <w:right w:val="single" w:color="000000" w:sz="16" w:space="0"/>
            </w:tcBorders>
            <w:shd w:val="clear" w:color="auto" w:fill="FFFFFF"/>
          </w:tcPr>
          <w:p w14:paraId="75263D6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Upper</w:t>
            </w:r>
          </w:p>
        </w:tc>
      </w:tr>
      <w:tr w14:paraId="7D791C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4" w:type="dxa"/>
            <w:tcBorders>
              <w:top w:val="single" w:color="000000" w:sz="16" w:space="0"/>
              <w:left w:val="single" w:color="000000" w:sz="16" w:space="0"/>
              <w:bottom w:val="nil"/>
              <w:right w:val="single" w:color="000000" w:sz="16" w:space="0"/>
            </w:tcBorders>
            <w:shd w:val="clear" w:color="auto" w:fill="FFFFFF"/>
            <w:vAlign w:val="center"/>
          </w:tcPr>
          <w:p w14:paraId="122C140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Q1.</w:t>
            </w:r>
          </w:p>
        </w:tc>
        <w:tc>
          <w:tcPr>
            <w:tcW w:w="1009" w:type="dxa"/>
            <w:tcBorders>
              <w:top w:val="single" w:color="000000" w:sz="16" w:space="0"/>
              <w:left w:val="single" w:color="000000" w:sz="16" w:space="0"/>
              <w:bottom w:val="nil"/>
            </w:tcBorders>
            <w:shd w:val="clear" w:color="auto" w:fill="FFFFFF"/>
          </w:tcPr>
          <w:p w14:paraId="0B0972A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29.750</w:t>
            </w:r>
          </w:p>
        </w:tc>
        <w:tc>
          <w:tcPr>
            <w:tcW w:w="1009" w:type="dxa"/>
            <w:tcBorders>
              <w:top w:val="single" w:color="000000" w:sz="16" w:space="0"/>
              <w:bottom w:val="nil"/>
            </w:tcBorders>
            <w:shd w:val="clear" w:color="auto" w:fill="FFFFFF"/>
          </w:tcPr>
          <w:p w14:paraId="1823893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281</w:t>
            </w:r>
          </w:p>
        </w:tc>
        <w:tc>
          <w:tcPr>
            <w:tcW w:w="1392" w:type="dxa"/>
            <w:tcBorders>
              <w:top w:val="single" w:color="000000" w:sz="16" w:space="0"/>
              <w:bottom w:val="nil"/>
            </w:tcBorders>
            <w:shd w:val="clear" w:color="auto" w:fill="FFFFFF"/>
          </w:tcPr>
          <w:p w14:paraId="4F44A6A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1468" w:type="dxa"/>
            <w:tcBorders>
              <w:top w:val="single" w:color="000000" w:sz="16" w:space="0"/>
              <w:bottom w:val="nil"/>
            </w:tcBorders>
            <w:shd w:val="clear" w:color="auto" w:fill="FFFFFF"/>
          </w:tcPr>
          <w:p w14:paraId="0276F44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2.649</w:t>
            </w:r>
          </w:p>
        </w:tc>
        <w:tc>
          <w:tcPr>
            <w:tcW w:w="1468" w:type="dxa"/>
            <w:tcBorders>
              <w:top w:val="single" w:color="000000" w:sz="16" w:space="0"/>
              <w:bottom w:val="nil"/>
            </w:tcBorders>
            <w:shd w:val="clear" w:color="auto" w:fill="FFFFFF"/>
          </w:tcPr>
          <w:p w14:paraId="58EA50D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2.47</w:t>
            </w:r>
          </w:p>
        </w:tc>
        <w:tc>
          <w:tcPr>
            <w:tcW w:w="1468" w:type="dxa"/>
            <w:tcBorders>
              <w:top w:val="single" w:color="000000" w:sz="16" w:space="0"/>
              <w:bottom w:val="nil"/>
              <w:right w:val="single" w:color="000000" w:sz="16" w:space="0"/>
            </w:tcBorders>
            <w:shd w:val="clear" w:color="auto" w:fill="FFFFFF"/>
          </w:tcPr>
          <w:p w14:paraId="08750FA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r>
      <w:tr w14:paraId="0021DC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4" w:type="dxa"/>
            <w:tcBorders>
              <w:top w:val="nil"/>
              <w:left w:val="single" w:color="000000" w:sz="16" w:space="0"/>
              <w:bottom w:val="nil"/>
              <w:right w:val="single" w:color="000000" w:sz="16" w:space="0"/>
            </w:tcBorders>
            <w:shd w:val="clear" w:color="auto" w:fill="FFFFFF"/>
            <w:vAlign w:val="center"/>
          </w:tcPr>
          <w:p w14:paraId="59A274A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Q2.</w:t>
            </w:r>
          </w:p>
        </w:tc>
        <w:tc>
          <w:tcPr>
            <w:tcW w:w="1009" w:type="dxa"/>
            <w:tcBorders>
              <w:top w:val="nil"/>
              <w:left w:val="single" w:color="000000" w:sz="16" w:space="0"/>
              <w:bottom w:val="nil"/>
            </w:tcBorders>
            <w:shd w:val="clear" w:color="auto" w:fill="FFFFFF"/>
          </w:tcPr>
          <w:p w14:paraId="279A266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40.656</w:t>
            </w:r>
          </w:p>
        </w:tc>
        <w:tc>
          <w:tcPr>
            <w:tcW w:w="1009" w:type="dxa"/>
            <w:tcBorders>
              <w:top w:val="nil"/>
              <w:bottom w:val="nil"/>
            </w:tcBorders>
            <w:shd w:val="clear" w:color="auto" w:fill="FFFFFF"/>
          </w:tcPr>
          <w:p w14:paraId="48C9885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281</w:t>
            </w:r>
          </w:p>
        </w:tc>
        <w:tc>
          <w:tcPr>
            <w:tcW w:w="1392" w:type="dxa"/>
            <w:tcBorders>
              <w:top w:val="nil"/>
              <w:bottom w:val="nil"/>
            </w:tcBorders>
            <w:shd w:val="clear" w:color="auto" w:fill="FFFFFF"/>
          </w:tcPr>
          <w:p w14:paraId="1EC420D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1468" w:type="dxa"/>
            <w:tcBorders>
              <w:top w:val="nil"/>
              <w:bottom w:val="nil"/>
            </w:tcBorders>
            <w:shd w:val="clear" w:color="auto" w:fill="FFFFFF"/>
          </w:tcPr>
          <w:p w14:paraId="7C289E5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3.635</w:t>
            </w:r>
          </w:p>
        </w:tc>
        <w:tc>
          <w:tcPr>
            <w:tcW w:w="1468" w:type="dxa"/>
            <w:tcBorders>
              <w:top w:val="nil"/>
              <w:bottom w:val="nil"/>
            </w:tcBorders>
            <w:shd w:val="clear" w:color="auto" w:fill="FFFFFF"/>
          </w:tcPr>
          <w:p w14:paraId="2A1A01D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3.46</w:t>
            </w:r>
          </w:p>
        </w:tc>
        <w:tc>
          <w:tcPr>
            <w:tcW w:w="1468" w:type="dxa"/>
            <w:tcBorders>
              <w:top w:val="nil"/>
              <w:bottom w:val="nil"/>
              <w:right w:val="single" w:color="000000" w:sz="16" w:space="0"/>
            </w:tcBorders>
            <w:shd w:val="clear" w:color="auto" w:fill="FFFFFF"/>
          </w:tcPr>
          <w:p w14:paraId="2E6FCD2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3.81</w:t>
            </w:r>
          </w:p>
        </w:tc>
      </w:tr>
      <w:tr w14:paraId="15263F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4" w:type="dxa"/>
            <w:tcBorders>
              <w:top w:val="nil"/>
              <w:left w:val="single" w:color="000000" w:sz="16" w:space="0"/>
              <w:bottom w:val="nil"/>
              <w:right w:val="single" w:color="000000" w:sz="16" w:space="0"/>
            </w:tcBorders>
            <w:shd w:val="clear" w:color="auto" w:fill="FFFFFF"/>
            <w:vAlign w:val="center"/>
          </w:tcPr>
          <w:p w14:paraId="63673A8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Q3.</w:t>
            </w:r>
          </w:p>
        </w:tc>
        <w:tc>
          <w:tcPr>
            <w:tcW w:w="1009" w:type="dxa"/>
            <w:tcBorders>
              <w:top w:val="nil"/>
              <w:left w:val="single" w:color="000000" w:sz="16" w:space="0"/>
              <w:bottom w:val="nil"/>
            </w:tcBorders>
            <w:shd w:val="clear" w:color="auto" w:fill="FFFFFF"/>
          </w:tcPr>
          <w:p w14:paraId="40D4075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38.449</w:t>
            </w:r>
          </w:p>
        </w:tc>
        <w:tc>
          <w:tcPr>
            <w:tcW w:w="1009" w:type="dxa"/>
            <w:tcBorders>
              <w:top w:val="nil"/>
              <w:bottom w:val="nil"/>
            </w:tcBorders>
            <w:shd w:val="clear" w:color="auto" w:fill="FFFFFF"/>
          </w:tcPr>
          <w:p w14:paraId="5989447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281</w:t>
            </w:r>
          </w:p>
        </w:tc>
        <w:tc>
          <w:tcPr>
            <w:tcW w:w="1392" w:type="dxa"/>
            <w:tcBorders>
              <w:top w:val="nil"/>
              <w:bottom w:val="nil"/>
            </w:tcBorders>
            <w:shd w:val="clear" w:color="auto" w:fill="FFFFFF"/>
          </w:tcPr>
          <w:p w14:paraId="233BDDB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1468" w:type="dxa"/>
            <w:tcBorders>
              <w:top w:val="nil"/>
              <w:bottom w:val="nil"/>
            </w:tcBorders>
            <w:shd w:val="clear" w:color="auto" w:fill="FFFFFF"/>
          </w:tcPr>
          <w:p w14:paraId="457025C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2.894</w:t>
            </w:r>
          </w:p>
        </w:tc>
        <w:tc>
          <w:tcPr>
            <w:tcW w:w="1468" w:type="dxa"/>
            <w:tcBorders>
              <w:top w:val="nil"/>
              <w:bottom w:val="nil"/>
            </w:tcBorders>
            <w:shd w:val="clear" w:color="auto" w:fill="FFFFFF"/>
          </w:tcPr>
          <w:p w14:paraId="2532014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2.75</w:t>
            </w:r>
          </w:p>
        </w:tc>
        <w:tc>
          <w:tcPr>
            <w:tcW w:w="1468" w:type="dxa"/>
            <w:tcBorders>
              <w:top w:val="nil"/>
              <w:bottom w:val="nil"/>
              <w:right w:val="single" w:color="000000" w:sz="16" w:space="0"/>
            </w:tcBorders>
            <w:shd w:val="clear" w:color="auto" w:fill="FFFFFF"/>
          </w:tcPr>
          <w:p w14:paraId="648DC6A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3.04</w:t>
            </w:r>
          </w:p>
        </w:tc>
      </w:tr>
      <w:tr w14:paraId="18D8EC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4" w:type="dxa"/>
            <w:tcBorders>
              <w:top w:val="nil"/>
              <w:left w:val="single" w:color="000000" w:sz="16" w:space="0"/>
              <w:bottom w:val="nil"/>
              <w:right w:val="single" w:color="000000" w:sz="16" w:space="0"/>
            </w:tcBorders>
            <w:shd w:val="clear" w:color="auto" w:fill="FFFFFF"/>
            <w:vAlign w:val="center"/>
          </w:tcPr>
          <w:p w14:paraId="06F2679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Q4.</w:t>
            </w:r>
          </w:p>
        </w:tc>
        <w:tc>
          <w:tcPr>
            <w:tcW w:w="1009" w:type="dxa"/>
            <w:tcBorders>
              <w:top w:val="nil"/>
              <w:left w:val="single" w:color="000000" w:sz="16" w:space="0"/>
              <w:bottom w:val="nil"/>
            </w:tcBorders>
            <w:shd w:val="clear" w:color="auto" w:fill="FFFFFF"/>
          </w:tcPr>
          <w:p w14:paraId="25BF212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31.704</w:t>
            </w:r>
          </w:p>
        </w:tc>
        <w:tc>
          <w:tcPr>
            <w:tcW w:w="1009" w:type="dxa"/>
            <w:tcBorders>
              <w:top w:val="nil"/>
              <w:bottom w:val="nil"/>
            </w:tcBorders>
            <w:shd w:val="clear" w:color="auto" w:fill="FFFFFF"/>
          </w:tcPr>
          <w:p w14:paraId="5727F8F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281</w:t>
            </w:r>
          </w:p>
        </w:tc>
        <w:tc>
          <w:tcPr>
            <w:tcW w:w="1392" w:type="dxa"/>
            <w:tcBorders>
              <w:top w:val="nil"/>
              <w:bottom w:val="nil"/>
            </w:tcBorders>
            <w:shd w:val="clear" w:color="auto" w:fill="FFFFFF"/>
          </w:tcPr>
          <w:p w14:paraId="6F51CE1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1468" w:type="dxa"/>
            <w:tcBorders>
              <w:top w:val="nil"/>
              <w:bottom w:val="nil"/>
            </w:tcBorders>
            <w:shd w:val="clear" w:color="auto" w:fill="FFFFFF"/>
          </w:tcPr>
          <w:p w14:paraId="466E549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3.401</w:t>
            </w:r>
          </w:p>
        </w:tc>
        <w:tc>
          <w:tcPr>
            <w:tcW w:w="1468" w:type="dxa"/>
            <w:tcBorders>
              <w:top w:val="nil"/>
              <w:bottom w:val="nil"/>
            </w:tcBorders>
            <w:shd w:val="clear" w:color="auto" w:fill="FFFFFF"/>
          </w:tcPr>
          <w:p w14:paraId="6E1C7D5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3.19</w:t>
            </w:r>
          </w:p>
        </w:tc>
        <w:tc>
          <w:tcPr>
            <w:tcW w:w="1468" w:type="dxa"/>
            <w:tcBorders>
              <w:top w:val="nil"/>
              <w:bottom w:val="nil"/>
              <w:right w:val="single" w:color="000000" w:sz="16" w:space="0"/>
            </w:tcBorders>
            <w:shd w:val="clear" w:color="auto" w:fill="FFFFFF"/>
          </w:tcPr>
          <w:p w14:paraId="0BB4688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3.61</w:t>
            </w:r>
          </w:p>
        </w:tc>
      </w:tr>
      <w:tr w14:paraId="399452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4" w:type="dxa"/>
            <w:tcBorders>
              <w:top w:val="nil"/>
              <w:left w:val="single" w:color="000000" w:sz="16" w:space="0"/>
              <w:bottom w:val="nil"/>
              <w:right w:val="single" w:color="000000" w:sz="16" w:space="0"/>
            </w:tcBorders>
            <w:shd w:val="clear" w:color="auto" w:fill="FFFFFF"/>
            <w:vAlign w:val="center"/>
          </w:tcPr>
          <w:p w14:paraId="3F92668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Q5.</w:t>
            </w:r>
          </w:p>
        </w:tc>
        <w:tc>
          <w:tcPr>
            <w:tcW w:w="1009" w:type="dxa"/>
            <w:tcBorders>
              <w:top w:val="nil"/>
              <w:left w:val="single" w:color="000000" w:sz="16" w:space="0"/>
              <w:bottom w:val="nil"/>
            </w:tcBorders>
            <w:shd w:val="clear" w:color="auto" w:fill="FFFFFF"/>
          </w:tcPr>
          <w:p w14:paraId="62304F6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38.369</w:t>
            </w:r>
          </w:p>
        </w:tc>
        <w:tc>
          <w:tcPr>
            <w:tcW w:w="1009" w:type="dxa"/>
            <w:tcBorders>
              <w:top w:val="nil"/>
              <w:bottom w:val="nil"/>
            </w:tcBorders>
            <w:shd w:val="clear" w:color="auto" w:fill="FFFFFF"/>
          </w:tcPr>
          <w:p w14:paraId="5BF5391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281</w:t>
            </w:r>
          </w:p>
        </w:tc>
        <w:tc>
          <w:tcPr>
            <w:tcW w:w="1392" w:type="dxa"/>
            <w:tcBorders>
              <w:top w:val="nil"/>
              <w:bottom w:val="nil"/>
            </w:tcBorders>
            <w:shd w:val="clear" w:color="auto" w:fill="FFFFFF"/>
          </w:tcPr>
          <w:p w14:paraId="25D647D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1468" w:type="dxa"/>
            <w:tcBorders>
              <w:top w:val="nil"/>
              <w:bottom w:val="nil"/>
            </w:tcBorders>
            <w:shd w:val="clear" w:color="auto" w:fill="FFFFFF"/>
          </w:tcPr>
          <w:p w14:paraId="70960C1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2.890</w:t>
            </w:r>
          </w:p>
        </w:tc>
        <w:tc>
          <w:tcPr>
            <w:tcW w:w="1468" w:type="dxa"/>
            <w:tcBorders>
              <w:top w:val="nil"/>
              <w:bottom w:val="nil"/>
            </w:tcBorders>
            <w:shd w:val="clear" w:color="auto" w:fill="FFFFFF"/>
          </w:tcPr>
          <w:p w14:paraId="5F631A2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2.74</w:t>
            </w:r>
          </w:p>
        </w:tc>
        <w:tc>
          <w:tcPr>
            <w:tcW w:w="1468" w:type="dxa"/>
            <w:tcBorders>
              <w:top w:val="nil"/>
              <w:bottom w:val="nil"/>
              <w:right w:val="single" w:color="000000" w:sz="16" w:space="0"/>
            </w:tcBorders>
            <w:shd w:val="clear" w:color="auto" w:fill="FFFFFF"/>
          </w:tcPr>
          <w:p w14:paraId="76901ED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3.04</w:t>
            </w:r>
          </w:p>
        </w:tc>
      </w:tr>
      <w:tr w14:paraId="572A51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4" w:type="dxa"/>
            <w:tcBorders>
              <w:top w:val="nil"/>
              <w:left w:val="single" w:color="000000" w:sz="16" w:space="0"/>
              <w:bottom w:val="nil"/>
              <w:right w:val="single" w:color="000000" w:sz="16" w:space="0"/>
            </w:tcBorders>
            <w:shd w:val="clear" w:color="auto" w:fill="FFFFFF"/>
            <w:vAlign w:val="center"/>
          </w:tcPr>
          <w:p w14:paraId="64DCBA8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Q6.</w:t>
            </w:r>
          </w:p>
        </w:tc>
        <w:tc>
          <w:tcPr>
            <w:tcW w:w="1009" w:type="dxa"/>
            <w:tcBorders>
              <w:top w:val="nil"/>
              <w:left w:val="single" w:color="000000" w:sz="16" w:space="0"/>
              <w:bottom w:val="nil"/>
            </w:tcBorders>
            <w:shd w:val="clear" w:color="auto" w:fill="FFFFFF"/>
          </w:tcPr>
          <w:p w14:paraId="0965C18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31.680</w:t>
            </w:r>
          </w:p>
        </w:tc>
        <w:tc>
          <w:tcPr>
            <w:tcW w:w="1009" w:type="dxa"/>
            <w:tcBorders>
              <w:top w:val="nil"/>
              <w:bottom w:val="nil"/>
            </w:tcBorders>
            <w:shd w:val="clear" w:color="auto" w:fill="FFFFFF"/>
          </w:tcPr>
          <w:p w14:paraId="4776871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281</w:t>
            </w:r>
          </w:p>
        </w:tc>
        <w:tc>
          <w:tcPr>
            <w:tcW w:w="1392" w:type="dxa"/>
            <w:tcBorders>
              <w:top w:val="nil"/>
              <w:bottom w:val="nil"/>
            </w:tcBorders>
            <w:shd w:val="clear" w:color="auto" w:fill="FFFFFF"/>
          </w:tcPr>
          <w:p w14:paraId="2386A46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1468" w:type="dxa"/>
            <w:tcBorders>
              <w:top w:val="nil"/>
              <w:bottom w:val="nil"/>
            </w:tcBorders>
            <w:shd w:val="clear" w:color="auto" w:fill="FFFFFF"/>
          </w:tcPr>
          <w:p w14:paraId="64A84A3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3.394</w:t>
            </w:r>
          </w:p>
        </w:tc>
        <w:tc>
          <w:tcPr>
            <w:tcW w:w="1468" w:type="dxa"/>
            <w:tcBorders>
              <w:top w:val="nil"/>
              <w:bottom w:val="nil"/>
            </w:tcBorders>
            <w:shd w:val="clear" w:color="auto" w:fill="FFFFFF"/>
          </w:tcPr>
          <w:p w14:paraId="6DC3F16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3.18</w:t>
            </w:r>
          </w:p>
        </w:tc>
        <w:tc>
          <w:tcPr>
            <w:tcW w:w="1468" w:type="dxa"/>
            <w:tcBorders>
              <w:top w:val="nil"/>
              <w:bottom w:val="nil"/>
              <w:right w:val="single" w:color="000000" w:sz="16" w:space="0"/>
            </w:tcBorders>
            <w:shd w:val="clear" w:color="auto" w:fill="FFFFFF"/>
          </w:tcPr>
          <w:p w14:paraId="01065F5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3.60</w:t>
            </w:r>
          </w:p>
        </w:tc>
      </w:tr>
      <w:tr w14:paraId="388C5F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4" w:type="dxa"/>
            <w:tcBorders>
              <w:top w:val="nil"/>
              <w:left w:val="single" w:color="000000" w:sz="16" w:space="0"/>
              <w:bottom w:val="nil"/>
              <w:right w:val="single" w:color="000000" w:sz="16" w:space="0"/>
            </w:tcBorders>
            <w:shd w:val="clear" w:color="auto" w:fill="FFFFFF"/>
            <w:vAlign w:val="center"/>
          </w:tcPr>
          <w:p w14:paraId="333CB85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Q7.</w:t>
            </w:r>
          </w:p>
        </w:tc>
        <w:tc>
          <w:tcPr>
            <w:tcW w:w="1009" w:type="dxa"/>
            <w:tcBorders>
              <w:top w:val="nil"/>
              <w:left w:val="single" w:color="000000" w:sz="16" w:space="0"/>
              <w:bottom w:val="nil"/>
            </w:tcBorders>
            <w:shd w:val="clear" w:color="auto" w:fill="FFFFFF"/>
          </w:tcPr>
          <w:p w14:paraId="20B920C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38.449</w:t>
            </w:r>
          </w:p>
        </w:tc>
        <w:tc>
          <w:tcPr>
            <w:tcW w:w="1009" w:type="dxa"/>
            <w:tcBorders>
              <w:top w:val="nil"/>
              <w:bottom w:val="nil"/>
            </w:tcBorders>
            <w:shd w:val="clear" w:color="auto" w:fill="FFFFFF"/>
          </w:tcPr>
          <w:p w14:paraId="5CC1129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281</w:t>
            </w:r>
          </w:p>
        </w:tc>
        <w:tc>
          <w:tcPr>
            <w:tcW w:w="1392" w:type="dxa"/>
            <w:tcBorders>
              <w:top w:val="nil"/>
              <w:bottom w:val="nil"/>
            </w:tcBorders>
            <w:shd w:val="clear" w:color="auto" w:fill="FFFFFF"/>
          </w:tcPr>
          <w:p w14:paraId="3CC274C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1468" w:type="dxa"/>
            <w:tcBorders>
              <w:top w:val="nil"/>
              <w:bottom w:val="nil"/>
            </w:tcBorders>
            <w:shd w:val="clear" w:color="auto" w:fill="FFFFFF"/>
          </w:tcPr>
          <w:p w14:paraId="253141B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2.894</w:t>
            </w:r>
          </w:p>
        </w:tc>
        <w:tc>
          <w:tcPr>
            <w:tcW w:w="1468" w:type="dxa"/>
            <w:tcBorders>
              <w:top w:val="nil"/>
              <w:bottom w:val="nil"/>
            </w:tcBorders>
            <w:shd w:val="clear" w:color="auto" w:fill="FFFFFF"/>
          </w:tcPr>
          <w:p w14:paraId="5077191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2.75</w:t>
            </w:r>
          </w:p>
        </w:tc>
        <w:tc>
          <w:tcPr>
            <w:tcW w:w="1468" w:type="dxa"/>
            <w:tcBorders>
              <w:top w:val="nil"/>
              <w:bottom w:val="nil"/>
              <w:right w:val="single" w:color="000000" w:sz="16" w:space="0"/>
            </w:tcBorders>
            <w:shd w:val="clear" w:color="auto" w:fill="FFFFFF"/>
          </w:tcPr>
          <w:p w14:paraId="3713DE4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3.04</w:t>
            </w:r>
          </w:p>
        </w:tc>
      </w:tr>
      <w:tr w14:paraId="0D0F01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4" w:type="dxa"/>
            <w:tcBorders>
              <w:top w:val="nil"/>
              <w:left w:val="single" w:color="000000" w:sz="16" w:space="0"/>
              <w:bottom w:val="nil"/>
              <w:right w:val="single" w:color="000000" w:sz="16" w:space="0"/>
            </w:tcBorders>
            <w:shd w:val="clear" w:color="auto" w:fill="FFFFFF"/>
            <w:vAlign w:val="center"/>
          </w:tcPr>
          <w:p w14:paraId="56EF20F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Q8.</w:t>
            </w:r>
          </w:p>
        </w:tc>
        <w:tc>
          <w:tcPr>
            <w:tcW w:w="1009" w:type="dxa"/>
            <w:tcBorders>
              <w:top w:val="nil"/>
              <w:left w:val="single" w:color="000000" w:sz="16" w:space="0"/>
              <w:bottom w:val="nil"/>
            </w:tcBorders>
            <w:shd w:val="clear" w:color="auto" w:fill="FFFFFF"/>
          </w:tcPr>
          <w:p w14:paraId="4F2A1B0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31.518</w:t>
            </w:r>
          </w:p>
        </w:tc>
        <w:tc>
          <w:tcPr>
            <w:tcW w:w="1009" w:type="dxa"/>
            <w:tcBorders>
              <w:top w:val="nil"/>
              <w:bottom w:val="nil"/>
            </w:tcBorders>
            <w:shd w:val="clear" w:color="auto" w:fill="FFFFFF"/>
          </w:tcPr>
          <w:p w14:paraId="59BFBBC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281</w:t>
            </w:r>
          </w:p>
        </w:tc>
        <w:tc>
          <w:tcPr>
            <w:tcW w:w="1392" w:type="dxa"/>
            <w:tcBorders>
              <w:top w:val="nil"/>
              <w:bottom w:val="nil"/>
            </w:tcBorders>
            <w:shd w:val="clear" w:color="auto" w:fill="FFFFFF"/>
          </w:tcPr>
          <w:p w14:paraId="303C534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1468" w:type="dxa"/>
            <w:tcBorders>
              <w:top w:val="nil"/>
              <w:bottom w:val="nil"/>
            </w:tcBorders>
            <w:shd w:val="clear" w:color="auto" w:fill="FFFFFF"/>
          </w:tcPr>
          <w:p w14:paraId="43076DE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3.387</w:t>
            </w:r>
          </w:p>
        </w:tc>
        <w:tc>
          <w:tcPr>
            <w:tcW w:w="1468" w:type="dxa"/>
            <w:tcBorders>
              <w:top w:val="nil"/>
              <w:bottom w:val="nil"/>
            </w:tcBorders>
            <w:shd w:val="clear" w:color="auto" w:fill="FFFFFF"/>
          </w:tcPr>
          <w:p w14:paraId="3F51A1E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3.18</w:t>
            </w:r>
          </w:p>
        </w:tc>
        <w:tc>
          <w:tcPr>
            <w:tcW w:w="1468" w:type="dxa"/>
            <w:tcBorders>
              <w:top w:val="nil"/>
              <w:bottom w:val="nil"/>
              <w:right w:val="single" w:color="000000" w:sz="16" w:space="0"/>
            </w:tcBorders>
            <w:shd w:val="clear" w:color="auto" w:fill="FFFFFF"/>
          </w:tcPr>
          <w:p w14:paraId="1544E85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3.60</w:t>
            </w:r>
          </w:p>
        </w:tc>
      </w:tr>
      <w:tr w14:paraId="7F8CD1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4" w:type="dxa"/>
            <w:tcBorders>
              <w:top w:val="nil"/>
              <w:left w:val="single" w:color="000000" w:sz="16" w:space="0"/>
              <w:bottom w:val="nil"/>
              <w:right w:val="single" w:color="000000" w:sz="16" w:space="0"/>
            </w:tcBorders>
            <w:shd w:val="clear" w:color="auto" w:fill="FFFFFF"/>
            <w:vAlign w:val="center"/>
          </w:tcPr>
          <w:p w14:paraId="5D4D386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Q9.</w:t>
            </w:r>
          </w:p>
        </w:tc>
        <w:tc>
          <w:tcPr>
            <w:tcW w:w="1009" w:type="dxa"/>
            <w:tcBorders>
              <w:top w:val="nil"/>
              <w:left w:val="single" w:color="000000" w:sz="16" w:space="0"/>
              <w:bottom w:val="nil"/>
            </w:tcBorders>
            <w:shd w:val="clear" w:color="auto" w:fill="FFFFFF"/>
          </w:tcPr>
          <w:p w14:paraId="483C815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38.449</w:t>
            </w:r>
          </w:p>
        </w:tc>
        <w:tc>
          <w:tcPr>
            <w:tcW w:w="1009" w:type="dxa"/>
            <w:tcBorders>
              <w:top w:val="nil"/>
              <w:bottom w:val="nil"/>
            </w:tcBorders>
            <w:shd w:val="clear" w:color="auto" w:fill="FFFFFF"/>
          </w:tcPr>
          <w:p w14:paraId="4C245D4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281</w:t>
            </w:r>
          </w:p>
        </w:tc>
        <w:tc>
          <w:tcPr>
            <w:tcW w:w="1392" w:type="dxa"/>
            <w:tcBorders>
              <w:top w:val="nil"/>
              <w:bottom w:val="nil"/>
            </w:tcBorders>
            <w:shd w:val="clear" w:color="auto" w:fill="FFFFFF"/>
          </w:tcPr>
          <w:p w14:paraId="217C11F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1468" w:type="dxa"/>
            <w:tcBorders>
              <w:top w:val="nil"/>
              <w:bottom w:val="nil"/>
            </w:tcBorders>
            <w:shd w:val="clear" w:color="auto" w:fill="FFFFFF"/>
          </w:tcPr>
          <w:p w14:paraId="52450D9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2.894</w:t>
            </w:r>
          </w:p>
        </w:tc>
        <w:tc>
          <w:tcPr>
            <w:tcW w:w="1468" w:type="dxa"/>
            <w:tcBorders>
              <w:top w:val="nil"/>
              <w:bottom w:val="nil"/>
            </w:tcBorders>
            <w:shd w:val="clear" w:color="auto" w:fill="FFFFFF"/>
          </w:tcPr>
          <w:p w14:paraId="6AFBA1E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2.75</w:t>
            </w:r>
          </w:p>
        </w:tc>
        <w:tc>
          <w:tcPr>
            <w:tcW w:w="1468" w:type="dxa"/>
            <w:tcBorders>
              <w:top w:val="nil"/>
              <w:bottom w:val="nil"/>
              <w:right w:val="single" w:color="000000" w:sz="16" w:space="0"/>
            </w:tcBorders>
            <w:shd w:val="clear" w:color="auto" w:fill="FFFFFF"/>
          </w:tcPr>
          <w:p w14:paraId="7FE472B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3.04</w:t>
            </w:r>
          </w:p>
        </w:tc>
      </w:tr>
      <w:tr w14:paraId="5AF4B8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4" w:type="dxa"/>
            <w:tcBorders>
              <w:top w:val="nil"/>
              <w:left w:val="single" w:color="000000" w:sz="16" w:space="0"/>
              <w:bottom w:val="nil"/>
              <w:right w:val="single" w:color="000000" w:sz="16" w:space="0"/>
            </w:tcBorders>
            <w:shd w:val="clear" w:color="auto" w:fill="FFFFFF"/>
            <w:vAlign w:val="center"/>
          </w:tcPr>
          <w:p w14:paraId="0DF2A06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 10.</w:t>
            </w:r>
          </w:p>
        </w:tc>
        <w:tc>
          <w:tcPr>
            <w:tcW w:w="1009" w:type="dxa"/>
            <w:tcBorders>
              <w:top w:val="nil"/>
              <w:left w:val="single" w:color="000000" w:sz="16" w:space="0"/>
              <w:bottom w:val="nil"/>
            </w:tcBorders>
            <w:shd w:val="clear" w:color="auto" w:fill="FFFFFF"/>
          </w:tcPr>
          <w:p w14:paraId="673067D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40.981</w:t>
            </w:r>
          </w:p>
        </w:tc>
        <w:tc>
          <w:tcPr>
            <w:tcW w:w="1009" w:type="dxa"/>
            <w:tcBorders>
              <w:top w:val="nil"/>
              <w:bottom w:val="nil"/>
            </w:tcBorders>
            <w:shd w:val="clear" w:color="auto" w:fill="FFFFFF"/>
          </w:tcPr>
          <w:p w14:paraId="0465E3A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281</w:t>
            </w:r>
          </w:p>
        </w:tc>
        <w:tc>
          <w:tcPr>
            <w:tcW w:w="1392" w:type="dxa"/>
            <w:tcBorders>
              <w:top w:val="nil"/>
              <w:bottom w:val="nil"/>
            </w:tcBorders>
            <w:shd w:val="clear" w:color="auto" w:fill="FFFFFF"/>
          </w:tcPr>
          <w:p w14:paraId="2DCF148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1468" w:type="dxa"/>
            <w:tcBorders>
              <w:top w:val="nil"/>
              <w:bottom w:val="nil"/>
            </w:tcBorders>
            <w:shd w:val="clear" w:color="auto" w:fill="FFFFFF"/>
          </w:tcPr>
          <w:p w14:paraId="55A1513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3.649</w:t>
            </w:r>
          </w:p>
        </w:tc>
        <w:tc>
          <w:tcPr>
            <w:tcW w:w="1468" w:type="dxa"/>
            <w:tcBorders>
              <w:top w:val="nil"/>
              <w:bottom w:val="nil"/>
            </w:tcBorders>
            <w:shd w:val="clear" w:color="auto" w:fill="FFFFFF"/>
          </w:tcPr>
          <w:p w14:paraId="7FF70943">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3.47</w:t>
            </w:r>
          </w:p>
        </w:tc>
        <w:tc>
          <w:tcPr>
            <w:tcW w:w="1468" w:type="dxa"/>
            <w:tcBorders>
              <w:top w:val="nil"/>
              <w:bottom w:val="nil"/>
              <w:right w:val="single" w:color="000000" w:sz="16" w:space="0"/>
            </w:tcBorders>
            <w:shd w:val="clear" w:color="auto" w:fill="FFFFFF"/>
          </w:tcPr>
          <w:p w14:paraId="7D196F2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3.82</w:t>
            </w:r>
          </w:p>
        </w:tc>
      </w:tr>
      <w:tr w14:paraId="1F4BCD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4" w:type="dxa"/>
            <w:tcBorders>
              <w:top w:val="nil"/>
              <w:left w:val="single" w:color="000000" w:sz="16" w:space="0"/>
              <w:bottom w:val="nil"/>
              <w:right w:val="single" w:color="000000" w:sz="16" w:space="0"/>
            </w:tcBorders>
            <w:shd w:val="clear" w:color="auto" w:fill="FFFFFF"/>
            <w:vAlign w:val="center"/>
          </w:tcPr>
          <w:p w14:paraId="7FFA255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Q11.</w:t>
            </w:r>
          </w:p>
        </w:tc>
        <w:tc>
          <w:tcPr>
            <w:tcW w:w="1009" w:type="dxa"/>
            <w:tcBorders>
              <w:top w:val="nil"/>
              <w:left w:val="single" w:color="000000" w:sz="16" w:space="0"/>
              <w:bottom w:val="nil"/>
            </w:tcBorders>
            <w:shd w:val="clear" w:color="auto" w:fill="FFFFFF"/>
          </w:tcPr>
          <w:p w14:paraId="40B93367">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29.610</w:t>
            </w:r>
          </w:p>
        </w:tc>
        <w:tc>
          <w:tcPr>
            <w:tcW w:w="1009" w:type="dxa"/>
            <w:tcBorders>
              <w:top w:val="nil"/>
              <w:bottom w:val="nil"/>
            </w:tcBorders>
            <w:shd w:val="clear" w:color="auto" w:fill="FFFFFF"/>
          </w:tcPr>
          <w:p w14:paraId="2FE2349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281</w:t>
            </w:r>
          </w:p>
        </w:tc>
        <w:tc>
          <w:tcPr>
            <w:tcW w:w="1392" w:type="dxa"/>
            <w:tcBorders>
              <w:top w:val="nil"/>
              <w:bottom w:val="nil"/>
            </w:tcBorders>
            <w:shd w:val="clear" w:color="auto" w:fill="FFFFFF"/>
          </w:tcPr>
          <w:p w14:paraId="29D638E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1468" w:type="dxa"/>
            <w:tcBorders>
              <w:top w:val="nil"/>
              <w:bottom w:val="nil"/>
            </w:tcBorders>
            <w:shd w:val="clear" w:color="auto" w:fill="FFFFFF"/>
          </w:tcPr>
          <w:p w14:paraId="4E898919">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2.638</w:t>
            </w:r>
          </w:p>
        </w:tc>
        <w:tc>
          <w:tcPr>
            <w:tcW w:w="1468" w:type="dxa"/>
            <w:tcBorders>
              <w:top w:val="nil"/>
              <w:bottom w:val="nil"/>
            </w:tcBorders>
            <w:shd w:val="clear" w:color="auto" w:fill="FFFFFF"/>
          </w:tcPr>
          <w:p w14:paraId="4DDA875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2.46</w:t>
            </w:r>
          </w:p>
        </w:tc>
        <w:tc>
          <w:tcPr>
            <w:tcW w:w="1468" w:type="dxa"/>
            <w:tcBorders>
              <w:top w:val="nil"/>
              <w:bottom w:val="nil"/>
              <w:right w:val="single" w:color="000000" w:sz="16" w:space="0"/>
            </w:tcBorders>
            <w:shd w:val="clear" w:color="auto" w:fill="FFFFFF"/>
          </w:tcPr>
          <w:p w14:paraId="493A57A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2.81</w:t>
            </w:r>
          </w:p>
        </w:tc>
      </w:tr>
      <w:tr w14:paraId="185737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4" w:type="dxa"/>
            <w:tcBorders>
              <w:top w:val="nil"/>
              <w:left w:val="single" w:color="000000" w:sz="16" w:space="0"/>
              <w:bottom w:val="nil"/>
              <w:right w:val="single" w:color="000000" w:sz="16" w:space="0"/>
            </w:tcBorders>
            <w:shd w:val="clear" w:color="auto" w:fill="FFFFFF"/>
            <w:vAlign w:val="center"/>
          </w:tcPr>
          <w:p w14:paraId="0687A91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Q12.</w:t>
            </w:r>
          </w:p>
        </w:tc>
        <w:tc>
          <w:tcPr>
            <w:tcW w:w="1009" w:type="dxa"/>
            <w:tcBorders>
              <w:top w:val="nil"/>
              <w:left w:val="single" w:color="000000" w:sz="16" w:space="0"/>
              <w:bottom w:val="nil"/>
            </w:tcBorders>
            <w:shd w:val="clear" w:color="auto" w:fill="FFFFFF"/>
          </w:tcPr>
          <w:p w14:paraId="556B680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41.882</w:t>
            </w:r>
          </w:p>
        </w:tc>
        <w:tc>
          <w:tcPr>
            <w:tcW w:w="1009" w:type="dxa"/>
            <w:tcBorders>
              <w:top w:val="nil"/>
              <w:bottom w:val="nil"/>
            </w:tcBorders>
            <w:shd w:val="clear" w:color="auto" w:fill="FFFFFF"/>
          </w:tcPr>
          <w:p w14:paraId="4316ED9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287</w:t>
            </w:r>
          </w:p>
        </w:tc>
        <w:tc>
          <w:tcPr>
            <w:tcW w:w="1392" w:type="dxa"/>
            <w:tcBorders>
              <w:top w:val="nil"/>
              <w:bottom w:val="nil"/>
            </w:tcBorders>
            <w:shd w:val="clear" w:color="auto" w:fill="FFFFFF"/>
          </w:tcPr>
          <w:p w14:paraId="0B8F9DFD">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1468" w:type="dxa"/>
            <w:tcBorders>
              <w:top w:val="nil"/>
              <w:bottom w:val="nil"/>
            </w:tcBorders>
            <w:shd w:val="clear" w:color="auto" w:fill="FFFFFF"/>
          </w:tcPr>
          <w:p w14:paraId="12FE9E6A">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3.663</w:t>
            </w:r>
          </w:p>
        </w:tc>
        <w:tc>
          <w:tcPr>
            <w:tcW w:w="1468" w:type="dxa"/>
            <w:tcBorders>
              <w:top w:val="nil"/>
              <w:bottom w:val="nil"/>
            </w:tcBorders>
            <w:shd w:val="clear" w:color="auto" w:fill="FFFFFF"/>
          </w:tcPr>
          <w:p w14:paraId="71678BC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3.49</w:t>
            </w:r>
          </w:p>
        </w:tc>
        <w:tc>
          <w:tcPr>
            <w:tcW w:w="1468" w:type="dxa"/>
            <w:tcBorders>
              <w:top w:val="nil"/>
              <w:bottom w:val="nil"/>
              <w:right w:val="single" w:color="000000" w:sz="16" w:space="0"/>
            </w:tcBorders>
            <w:shd w:val="clear" w:color="auto" w:fill="FFFFFF"/>
          </w:tcPr>
          <w:p w14:paraId="5689BD1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3.84</w:t>
            </w:r>
          </w:p>
        </w:tc>
      </w:tr>
      <w:tr w14:paraId="699B34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4" w:type="dxa"/>
            <w:tcBorders>
              <w:top w:val="nil"/>
              <w:left w:val="single" w:color="000000" w:sz="16" w:space="0"/>
              <w:bottom w:val="nil"/>
              <w:right w:val="single" w:color="000000" w:sz="16" w:space="0"/>
            </w:tcBorders>
            <w:shd w:val="clear" w:color="auto" w:fill="FFFFFF"/>
            <w:vAlign w:val="center"/>
          </w:tcPr>
          <w:p w14:paraId="28A9D32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Q13.</w:t>
            </w:r>
          </w:p>
        </w:tc>
        <w:tc>
          <w:tcPr>
            <w:tcW w:w="1009" w:type="dxa"/>
            <w:tcBorders>
              <w:top w:val="nil"/>
              <w:left w:val="single" w:color="000000" w:sz="16" w:space="0"/>
              <w:bottom w:val="nil"/>
            </w:tcBorders>
            <w:shd w:val="clear" w:color="auto" w:fill="FFFFFF"/>
          </w:tcPr>
          <w:p w14:paraId="709DA77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29.750</w:t>
            </w:r>
          </w:p>
        </w:tc>
        <w:tc>
          <w:tcPr>
            <w:tcW w:w="1009" w:type="dxa"/>
            <w:tcBorders>
              <w:top w:val="nil"/>
              <w:bottom w:val="nil"/>
            </w:tcBorders>
            <w:shd w:val="clear" w:color="auto" w:fill="FFFFFF"/>
          </w:tcPr>
          <w:p w14:paraId="1C67672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281</w:t>
            </w:r>
          </w:p>
        </w:tc>
        <w:tc>
          <w:tcPr>
            <w:tcW w:w="1392" w:type="dxa"/>
            <w:tcBorders>
              <w:top w:val="nil"/>
              <w:bottom w:val="nil"/>
            </w:tcBorders>
            <w:shd w:val="clear" w:color="auto" w:fill="FFFFFF"/>
          </w:tcPr>
          <w:p w14:paraId="7590FA6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1468" w:type="dxa"/>
            <w:tcBorders>
              <w:top w:val="nil"/>
              <w:bottom w:val="nil"/>
            </w:tcBorders>
            <w:shd w:val="clear" w:color="auto" w:fill="FFFFFF"/>
          </w:tcPr>
          <w:p w14:paraId="5B5A264E">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2.645</w:t>
            </w:r>
          </w:p>
        </w:tc>
        <w:tc>
          <w:tcPr>
            <w:tcW w:w="1468" w:type="dxa"/>
            <w:tcBorders>
              <w:top w:val="nil"/>
              <w:bottom w:val="nil"/>
            </w:tcBorders>
            <w:shd w:val="clear" w:color="auto" w:fill="FFFFFF"/>
          </w:tcPr>
          <w:p w14:paraId="40DB44F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2.47</w:t>
            </w:r>
          </w:p>
        </w:tc>
        <w:tc>
          <w:tcPr>
            <w:tcW w:w="1468" w:type="dxa"/>
            <w:tcBorders>
              <w:top w:val="nil"/>
              <w:bottom w:val="nil"/>
              <w:right w:val="single" w:color="000000" w:sz="16" w:space="0"/>
            </w:tcBorders>
            <w:shd w:val="clear" w:color="auto" w:fill="FFFFFF"/>
          </w:tcPr>
          <w:p w14:paraId="0545B16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r>
      <w:tr w14:paraId="2FCD54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4" w:type="dxa"/>
            <w:tcBorders>
              <w:top w:val="nil"/>
              <w:left w:val="single" w:color="000000" w:sz="16" w:space="0"/>
              <w:bottom w:val="nil"/>
              <w:right w:val="single" w:color="000000" w:sz="16" w:space="0"/>
            </w:tcBorders>
            <w:shd w:val="clear" w:color="auto" w:fill="FFFFFF"/>
            <w:vAlign w:val="center"/>
          </w:tcPr>
          <w:p w14:paraId="28803ECF">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Q14.</w:t>
            </w:r>
          </w:p>
        </w:tc>
        <w:tc>
          <w:tcPr>
            <w:tcW w:w="1009" w:type="dxa"/>
            <w:tcBorders>
              <w:top w:val="nil"/>
              <w:left w:val="single" w:color="000000" w:sz="16" w:space="0"/>
              <w:bottom w:val="nil"/>
            </w:tcBorders>
            <w:shd w:val="clear" w:color="auto" w:fill="FFFFFF"/>
          </w:tcPr>
          <w:p w14:paraId="13FA6554">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40.981</w:t>
            </w:r>
          </w:p>
        </w:tc>
        <w:tc>
          <w:tcPr>
            <w:tcW w:w="1009" w:type="dxa"/>
            <w:tcBorders>
              <w:top w:val="nil"/>
              <w:bottom w:val="nil"/>
            </w:tcBorders>
            <w:shd w:val="clear" w:color="auto" w:fill="FFFFFF"/>
          </w:tcPr>
          <w:p w14:paraId="4FA1016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281</w:t>
            </w:r>
          </w:p>
        </w:tc>
        <w:tc>
          <w:tcPr>
            <w:tcW w:w="1392" w:type="dxa"/>
            <w:tcBorders>
              <w:top w:val="nil"/>
              <w:bottom w:val="nil"/>
            </w:tcBorders>
            <w:shd w:val="clear" w:color="auto" w:fill="FFFFFF"/>
          </w:tcPr>
          <w:p w14:paraId="26136DB6">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1468" w:type="dxa"/>
            <w:tcBorders>
              <w:top w:val="nil"/>
              <w:bottom w:val="nil"/>
            </w:tcBorders>
            <w:shd w:val="clear" w:color="auto" w:fill="FFFFFF"/>
          </w:tcPr>
          <w:p w14:paraId="242762DC">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3.649</w:t>
            </w:r>
          </w:p>
        </w:tc>
        <w:tc>
          <w:tcPr>
            <w:tcW w:w="1468" w:type="dxa"/>
            <w:tcBorders>
              <w:top w:val="nil"/>
              <w:bottom w:val="nil"/>
            </w:tcBorders>
            <w:shd w:val="clear" w:color="auto" w:fill="FFFFFF"/>
          </w:tcPr>
          <w:p w14:paraId="1C8245E1">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3.47</w:t>
            </w:r>
          </w:p>
        </w:tc>
        <w:tc>
          <w:tcPr>
            <w:tcW w:w="1468" w:type="dxa"/>
            <w:tcBorders>
              <w:top w:val="nil"/>
              <w:bottom w:val="nil"/>
              <w:right w:val="single" w:color="000000" w:sz="16" w:space="0"/>
            </w:tcBorders>
            <w:shd w:val="clear" w:color="auto" w:fill="FFFFFF"/>
          </w:tcPr>
          <w:p w14:paraId="0305D602">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3.82</w:t>
            </w:r>
          </w:p>
        </w:tc>
      </w:tr>
      <w:tr w14:paraId="7AE6A2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4" w:type="dxa"/>
            <w:tcBorders>
              <w:top w:val="nil"/>
              <w:left w:val="single" w:color="000000" w:sz="16" w:space="0"/>
              <w:bottom w:val="single" w:color="000000" w:sz="16" w:space="0"/>
              <w:right w:val="single" w:color="000000" w:sz="16" w:space="0"/>
            </w:tcBorders>
            <w:shd w:val="clear" w:color="auto" w:fill="FFFFFF"/>
            <w:vAlign w:val="center"/>
          </w:tcPr>
          <w:p w14:paraId="1CA5494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Q15.</w:t>
            </w:r>
          </w:p>
        </w:tc>
        <w:tc>
          <w:tcPr>
            <w:tcW w:w="1009" w:type="dxa"/>
            <w:tcBorders>
              <w:top w:val="nil"/>
              <w:left w:val="single" w:color="000000" w:sz="16" w:space="0"/>
              <w:bottom w:val="single" w:color="000000" w:sz="16" w:space="0"/>
            </w:tcBorders>
            <w:shd w:val="clear" w:color="auto" w:fill="FFFFFF"/>
          </w:tcPr>
          <w:p w14:paraId="65C7423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29.750</w:t>
            </w:r>
          </w:p>
        </w:tc>
        <w:tc>
          <w:tcPr>
            <w:tcW w:w="1009" w:type="dxa"/>
            <w:tcBorders>
              <w:top w:val="nil"/>
              <w:bottom w:val="single" w:color="000000" w:sz="16" w:space="0"/>
            </w:tcBorders>
            <w:shd w:val="clear" w:color="auto" w:fill="FFFFFF"/>
          </w:tcPr>
          <w:p w14:paraId="2EA886B5">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281</w:t>
            </w:r>
          </w:p>
        </w:tc>
        <w:tc>
          <w:tcPr>
            <w:tcW w:w="1392" w:type="dxa"/>
            <w:tcBorders>
              <w:top w:val="nil"/>
              <w:bottom w:val="single" w:color="000000" w:sz="16" w:space="0"/>
            </w:tcBorders>
            <w:shd w:val="clear" w:color="auto" w:fill="FFFFFF"/>
          </w:tcPr>
          <w:p w14:paraId="77FCFA1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.000</w:t>
            </w:r>
          </w:p>
        </w:tc>
        <w:tc>
          <w:tcPr>
            <w:tcW w:w="1468" w:type="dxa"/>
            <w:tcBorders>
              <w:top w:val="nil"/>
              <w:bottom w:val="single" w:color="000000" w:sz="16" w:space="0"/>
            </w:tcBorders>
            <w:shd w:val="clear" w:color="auto" w:fill="FFFFFF"/>
          </w:tcPr>
          <w:p w14:paraId="74E4524B">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2.649</w:t>
            </w:r>
          </w:p>
        </w:tc>
        <w:tc>
          <w:tcPr>
            <w:tcW w:w="1468" w:type="dxa"/>
            <w:tcBorders>
              <w:top w:val="nil"/>
              <w:bottom w:val="single" w:color="000000" w:sz="16" w:space="0"/>
            </w:tcBorders>
            <w:shd w:val="clear" w:color="auto" w:fill="FFFFFF"/>
          </w:tcPr>
          <w:p w14:paraId="7CE8BD98">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2.47</w:t>
            </w:r>
          </w:p>
        </w:tc>
        <w:tc>
          <w:tcPr>
            <w:tcW w:w="1468" w:type="dxa"/>
            <w:tcBorders>
              <w:top w:val="nil"/>
              <w:bottom w:val="single" w:color="000000" w:sz="16" w:space="0"/>
              <w:right w:val="single" w:color="000000" w:sz="16" w:space="0"/>
            </w:tcBorders>
            <w:shd w:val="clear" w:color="auto" w:fill="FFFFFF"/>
          </w:tcPr>
          <w:p w14:paraId="6ECCD830">
            <w:pPr>
              <w:autoSpaceDE w:val="0"/>
              <w:autoSpaceDN w:val="0"/>
              <w:adjustRightInd w:val="0"/>
              <w:spacing w:after="0" w:line="320" w:lineRule="atLeast"/>
              <w:ind w:left="60" w:right="60"/>
              <w:jc w:val="center"/>
              <w:rPr>
                <w:rFonts w:ascii="Arial" w:hAnsi="Arial" w:cs="Arial"/>
                <w:color w:val="000000"/>
                <w:sz w:val="18"/>
                <w:szCs w:val="18"/>
                <w:highlight w:val="none"/>
                <w:lang w:val="en-US"/>
              </w:rPr>
            </w:pPr>
            <w:r>
              <w:rPr>
                <w:rFonts w:ascii="Arial" w:hAnsi="Arial" w:cs="Arial"/>
                <w:color w:val="000000"/>
                <w:sz w:val="18"/>
                <w:szCs w:val="18"/>
                <w:highlight w:val="none"/>
                <w:lang w:val="en-US"/>
              </w:rPr>
              <w:t>2.82</w:t>
            </w:r>
          </w:p>
        </w:tc>
      </w:tr>
    </w:tbl>
    <w:p w14:paraId="7D21E331">
      <w:pPr>
        <w:jc w:val="center"/>
        <w:rPr>
          <w:highlight w:val="none"/>
          <w:lang w:val="en-US"/>
        </w:rPr>
      </w:pPr>
    </w:p>
    <w:sectPr>
      <w:headerReference r:id="rId6" w:type="default"/>
      <w:pgSz w:w="12240" w:h="15840"/>
      <w:pgMar w:top="1440" w:right="1440" w:bottom="1440" w:left="1440" w:header="708" w:footer="708" w:gutter="0"/>
      <w:pgNumType w:start="1"/>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0D260">
    <w:pPr>
      <w:pStyle w:val="18"/>
      <w:jc w:val="right"/>
    </w:pPr>
  </w:p>
  <w:p w14:paraId="215F5579">
    <w:pPr>
      <w:pStyle w:val="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44080895"/>
      <w:docPartObj>
        <w:docPartGallery w:val="AutoText"/>
      </w:docPartObj>
    </w:sdtPr>
    <w:sdtContent>
      <w:p w14:paraId="026577AE">
        <w:pPr>
          <w:pStyle w:val="18"/>
          <w:jc w:val="right"/>
        </w:pPr>
        <w:r>
          <w:fldChar w:fldCharType="begin"/>
        </w:r>
        <w:r>
          <w:instrText xml:space="preserve"> PAGE   \* MERGEFORMAT </w:instrText>
        </w:r>
        <w:r>
          <w:fldChar w:fldCharType="separate"/>
        </w:r>
        <w:r>
          <w:t>32</w:t>
        </w:r>
        <w:r>
          <w:fldChar w:fldCharType="end"/>
        </w:r>
      </w:p>
    </w:sdtContent>
  </w:sdt>
  <w:p w14:paraId="7C8827FD">
    <w:pPr>
      <w:pStyle w:val="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C35514"/>
    <w:multiLevelType w:val="multilevel"/>
    <w:tmpl w:val="0CC3551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22525B85"/>
    <w:multiLevelType w:val="multilevel"/>
    <w:tmpl w:val="22525B85"/>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2">
    <w:nsid w:val="73EA17A8"/>
    <w:multiLevelType w:val="multilevel"/>
    <w:tmpl w:val="73EA17A8"/>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
  </w:num>
  <w:num w:numId="2">
    <w:abstractNumId w:val="2"/>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9"/>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jMwNjWzMDAwNrMwMrFQ0lEKTi0uzszPAykwrAUA75andSwAAAA="/>
  </w:docVars>
  <w:rsids>
    <w:rsidRoot w:val="00812C30"/>
    <w:rsid w:val="000048A4"/>
    <w:rsid w:val="00006E1D"/>
    <w:rsid w:val="00012C4C"/>
    <w:rsid w:val="00023B59"/>
    <w:rsid w:val="00024B60"/>
    <w:rsid w:val="00026A00"/>
    <w:rsid w:val="00026AA4"/>
    <w:rsid w:val="00031B09"/>
    <w:rsid w:val="00031F99"/>
    <w:rsid w:val="0003393E"/>
    <w:rsid w:val="0003574E"/>
    <w:rsid w:val="00036A17"/>
    <w:rsid w:val="000414DC"/>
    <w:rsid w:val="00042387"/>
    <w:rsid w:val="00042FD6"/>
    <w:rsid w:val="00043740"/>
    <w:rsid w:val="00043A3B"/>
    <w:rsid w:val="00045FEF"/>
    <w:rsid w:val="00047EB9"/>
    <w:rsid w:val="00050036"/>
    <w:rsid w:val="0005396C"/>
    <w:rsid w:val="000539D2"/>
    <w:rsid w:val="000549EC"/>
    <w:rsid w:val="000562D9"/>
    <w:rsid w:val="00062081"/>
    <w:rsid w:val="0006407B"/>
    <w:rsid w:val="000656CB"/>
    <w:rsid w:val="00065FA8"/>
    <w:rsid w:val="00066A61"/>
    <w:rsid w:val="0006743B"/>
    <w:rsid w:val="00067CE4"/>
    <w:rsid w:val="00072156"/>
    <w:rsid w:val="00072285"/>
    <w:rsid w:val="000725FB"/>
    <w:rsid w:val="00073F2B"/>
    <w:rsid w:val="00074F62"/>
    <w:rsid w:val="00075DD7"/>
    <w:rsid w:val="000763D6"/>
    <w:rsid w:val="0007671A"/>
    <w:rsid w:val="00076DFB"/>
    <w:rsid w:val="000775DA"/>
    <w:rsid w:val="00081B49"/>
    <w:rsid w:val="00083207"/>
    <w:rsid w:val="00084A82"/>
    <w:rsid w:val="00085010"/>
    <w:rsid w:val="00085C26"/>
    <w:rsid w:val="00087DBE"/>
    <w:rsid w:val="00090079"/>
    <w:rsid w:val="00091546"/>
    <w:rsid w:val="0009212B"/>
    <w:rsid w:val="0009246E"/>
    <w:rsid w:val="00092F93"/>
    <w:rsid w:val="00093666"/>
    <w:rsid w:val="00094053"/>
    <w:rsid w:val="00096397"/>
    <w:rsid w:val="000A369E"/>
    <w:rsid w:val="000A3AD3"/>
    <w:rsid w:val="000A4C31"/>
    <w:rsid w:val="000A75D9"/>
    <w:rsid w:val="000B055E"/>
    <w:rsid w:val="000B0FB9"/>
    <w:rsid w:val="000B1753"/>
    <w:rsid w:val="000B1784"/>
    <w:rsid w:val="000B17E0"/>
    <w:rsid w:val="000B420B"/>
    <w:rsid w:val="000B640F"/>
    <w:rsid w:val="000B6987"/>
    <w:rsid w:val="000C28FC"/>
    <w:rsid w:val="000C3400"/>
    <w:rsid w:val="000C44DF"/>
    <w:rsid w:val="000C7B54"/>
    <w:rsid w:val="000D1869"/>
    <w:rsid w:val="000D3C36"/>
    <w:rsid w:val="000D4DB5"/>
    <w:rsid w:val="000D5CE7"/>
    <w:rsid w:val="000D7D66"/>
    <w:rsid w:val="000E0597"/>
    <w:rsid w:val="000E0D43"/>
    <w:rsid w:val="000E3942"/>
    <w:rsid w:val="000E45BE"/>
    <w:rsid w:val="000E4A8B"/>
    <w:rsid w:val="000E54EF"/>
    <w:rsid w:val="000F116E"/>
    <w:rsid w:val="000F2279"/>
    <w:rsid w:val="000F2BE3"/>
    <w:rsid w:val="000F2F7B"/>
    <w:rsid w:val="000F7680"/>
    <w:rsid w:val="0010281C"/>
    <w:rsid w:val="001039ED"/>
    <w:rsid w:val="00103EEB"/>
    <w:rsid w:val="00104B25"/>
    <w:rsid w:val="0010508B"/>
    <w:rsid w:val="00105662"/>
    <w:rsid w:val="001063B2"/>
    <w:rsid w:val="00112A4E"/>
    <w:rsid w:val="0011438C"/>
    <w:rsid w:val="00114E34"/>
    <w:rsid w:val="00115559"/>
    <w:rsid w:val="001167C8"/>
    <w:rsid w:val="00117477"/>
    <w:rsid w:val="00121C90"/>
    <w:rsid w:val="001244AC"/>
    <w:rsid w:val="00124506"/>
    <w:rsid w:val="00124A4F"/>
    <w:rsid w:val="0012560F"/>
    <w:rsid w:val="00125C6D"/>
    <w:rsid w:val="00130115"/>
    <w:rsid w:val="00132927"/>
    <w:rsid w:val="00134B42"/>
    <w:rsid w:val="0013627E"/>
    <w:rsid w:val="0013726F"/>
    <w:rsid w:val="001408AC"/>
    <w:rsid w:val="00140F08"/>
    <w:rsid w:val="001417D5"/>
    <w:rsid w:val="00141E0B"/>
    <w:rsid w:val="0014549B"/>
    <w:rsid w:val="001462FB"/>
    <w:rsid w:val="00146BAC"/>
    <w:rsid w:val="00151FED"/>
    <w:rsid w:val="0015323B"/>
    <w:rsid w:val="00153992"/>
    <w:rsid w:val="00156837"/>
    <w:rsid w:val="00157687"/>
    <w:rsid w:val="001608D0"/>
    <w:rsid w:val="00164E93"/>
    <w:rsid w:val="00167776"/>
    <w:rsid w:val="0017132E"/>
    <w:rsid w:val="00171766"/>
    <w:rsid w:val="00172BC9"/>
    <w:rsid w:val="00174253"/>
    <w:rsid w:val="00174FFD"/>
    <w:rsid w:val="001751B3"/>
    <w:rsid w:val="001763C8"/>
    <w:rsid w:val="00176C68"/>
    <w:rsid w:val="00177FC2"/>
    <w:rsid w:val="00180808"/>
    <w:rsid w:val="00180DB4"/>
    <w:rsid w:val="00183E4D"/>
    <w:rsid w:val="00184717"/>
    <w:rsid w:val="00186761"/>
    <w:rsid w:val="00190753"/>
    <w:rsid w:val="00190E5B"/>
    <w:rsid w:val="00193C1E"/>
    <w:rsid w:val="00194745"/>
    <w:rsid w:val="00195DE4"/>
    <w:rsid w:val="0019790A"/>
    <w:rsid w:val="00197A36"/>
    <w:rsid w:val="001A02AD"/>
    <w:rsid w:val="001A28AC"/>
    <w:rsid w:val="001A2A5D"/>
    <w:rsid w:val="001A3117"/>
    <w:rsid w:val="001A37B7"/>
    <w:rsid w:val="001B08BE"/>
    <w:rsid w:val="001B0A58"/>
    <w:rsid w:val="001B3EA8"/>
    <w:rsid w:val="001B3F97"/>
    <w:rsid w:val="001B52F8"/>
    <w:rsid w:val="001B5ECA"/>
    <w:rsid w:val="001B6512"/>
    <w:rsid w:val="001B73B8"/>
    <w:rsid w:val="001C152D"/>
    <w:rsid w:val="001C1762"/>
    <w:rsid w:val="001C2AB2"/>
    <w:rsid w:val="001C4E78"/>
    <w:rsid w:val="001C7F09"/>
    <w:rsid w:val="001D3A3F"/>
    <w:rsid w:val="001D6C1B"/>
    <w:rsid w:val="001E0875"/>
    <w:rsid w:val="001E0917"/>
    <w:rsid w:val="001E2B54"/>
    <w:rsid w:val="001E4D91"/>
    <w:rsid w:val="001E54C4"/>
    <w:rsid w:val="001E56E0"/>
    <w:rsid w:val="001F233C"/>
    <w:rsid w:val="001F4FD9"/>
    <w:rsid w:val="001F71D3"/>
    <w:rsid w:val="00201B5F"/>
    <w:rsid w:val="00202797"/>
    <w:rsid w:val="00202CF6"/>
    <w:rsid w:val="00204216"/>
    <w:rsid w:val="00205308"/>
    <w:rsid w:val="00206058"/>
    <w:rsid w:val="002068FF"/>
    <w:rsid w:val="00207AE8"/>
    <w:rsid w:val="0021405F"/>
    <w:rsid w:val="00215A30"/>
    <w:rsid w:val="00237023"/>
    <w:rsid w:val="002371CF"/>
    <w:rsid w:val="0024213A"/>
    <w:rsid w:val="00242A25"/>
    <w:rsid w:val="00244787"/>
    <w:rsid w:val="002449C5"/>
    <w:rsid w:val="00246258"/>
    <w:rsid w:val="002522A8"/>
    <w:rsid w:val="0025236D"/>
    <w:rsid w:val="00256F43"/>
    <w:rsid w:val="00257419"/>
    <w:rsid w:val="0025770B"/>
    <w:rsid w:val="00257EE4"/>
    <w:rsid w:val="00262BC9"/>
    <w:rsid w:val="002675BB"/>
    <w:rsid w:val="00267CCA"/>
    <w:rsid w:val="00271C0B"/>
    <w:rsid w:val="00272273"/>
    <w:rsid w:val="002745D8"/>
    <w:rsid w:val="00274AB7"/>
    <w:rsid w:val="00275AA6"/>
    <w:rsid w:val="002811A4"/>
    <w:rsid w:val="002839C7"/>
    <w:rsid w:val="00284BEC"/>
    <w:rsid w:val="00284F54"/>
    <w:rsid w:val="00285269"/>
    <w:rsid w:val="00286062"/>
    <w:rsid w:val="0029179D"/>
    <w:rsid w:val="00292348"/>
    <w:rsid w:val="00292485"/>
    <w:rsid w:val="002937DA"/>
    <w:rsid w:val="00295EB7"/>
    <w:rsid w:val="002971A0"/>
    <w:rsid w:val="002A029C"/>
    <w:rsid w:val="002A426A"/>
    <w:rsid w:val="002A5D79"/>
    <w:rsid w:val="002A7672"/>
    <w:rsid w:val="002B0098"/>
    <w:rsid w:val="002B66F5"/>
    <w:rsid w:val="002C1E4D"/>
    <w:rsid w:val="002C1EF2"/>
    <w:rsid w:val="002C2D4B"/>
    <w:rsid w:val="002C2FE3"/>
    <w:rsid w:val="002C36A6"/>
    <w:rsid w:val="002C6938"/>
    <w:rsid w:val="002D1C5A"/>
    <w:rsid w:val="002D1C60"/>
    <w:rsid w:val="002D263F"/>
    <w:rsid w:val="002D789C"/>
    <w:rsid w:val="002E1A6A"/>
    <w:rsid w:val="002E212C"/>
    <w:rsid w:val="002E4570"/>
    <w:rsid w:val="002E635E"/>
    <w:rsid w:val="002E7331"/>
    <w:rsid w:val="002F0E98"/>
    <w:rsid w:val="002F2B11"/>
    <w:rsid w:val="002F2CE2"/>
    <w:rsid w:val="002F36AC"/>
    <w:rsid w:val="002F51BF"/>
    <w:rsid w:val="002F5582"/>
    <w:rsid w:val="002F79C5"/>
    <w:rsid w:val="003005C5"/>
    <w:rsid w:val="00300862"/>
    <w:rsid w:val="00304BF5"/>
    <w:rsid w:val="00304EA6"/>
    <w:rsid w:val="00305651"/>
    <w:rsid w:val="00306C79"/>
    <w:rsid w:val="00307667"/>
    <w:rsid w:val="003124B7"/>
    <w:rsid w:val="00312F36"/>
    <w:rsid w:val="00314F2A"/>
    <w:rsid w:val="0031717C"/>
    <w:rsid w:val="00320B08"/>
    <w:rsid w:val="003233A7"/>
    <w:rsid w:val="003318DC"/>
    <w:rsid w:val="00335D69"/>
    <w:rsid w:val="00336B91"/>
    <w:rsid w:val="003377A9"/>
    <w:rsid w:val="00337B1C"/>
    <w:rsid w:val="00337BB9"/>
    <w:rsid w:val="00341E2F"/>
    <w:rsid w:val="00342DEC"/>
    <w:rsid w:val="00343133"/>
    <w:rsid w:val="00343AFC"/>
    <w:rsid w:val="003446DF"/>
    <w:rsid w:val="003467FC"/>
    <w:rsid w:val="00350D86"/>
    <w:rsid w:val="00352744"/>
    <w:rsid w:val="0035520F"/>
    <w:rsid w:val="003562D6"/>
    <w:rsid w:val="00360455"/>
    <w:rsid w:val="00362614"/>
    <w:rsid w:val="0036546C"/>
    <w:rsid w:val="00372DEE"/>
    <w:rsid w:val="0037482C"/>
    <w:rsid w:val="00382BFB"/>
    <w:rsid w:val="00383700"/>
    <w:rsid w:val="00386067"/>
    <w:rsid w:val="00386D0A"/>
    <w:rsid w:val="00387D7F"/>
    <w:rsid w:val="0039191B"/>
    <w:rsid w:val="00391C86"/>
    <w:rsid w:val="003923F0"/>
    <w:rsid w:val="0039277E"/>
    <w:rsid w:val="00393BD5"/>
    <w:rsid w:val="00397D08"/>
    <w:rsid w:val="003A1169"/>
    <w:rsid w:val="003A14E1"/>
    <w:rsid w:val="003A21AC"/>
    <w:rsid w:val="003A4D87"/>
    <w:rsid w:val="003A688C"/>
    <w:rsid w:val="003B3324"/>
    <w:rsid w:val="003B70BE"/>
    <w:rsid w:val="003B7EFF"/>
    <w:rsid w:val="003C0429"/>
    <w:rsid w:val="003C061F"/>
    <w:rsid w:val="003C0691"/>
    <w:rsid w:val="003C1261"/>
    <w:rsid w:val="003C3539"/>
    <w:rsid w:val="003C745E"/>
    <w:rsid w:val="003D04F7"/>
    <w:rsid w:val="003D345B"/>
    <w:rsid w:val="003D4517"/>
    <w:rsid w:val="003D7570"/>
    <w:rsid w:val="003E378B"/>
    <w:rsid w:val="003E775A"/>
    <w:rsid w:val="003F0019"/>
    <w:rsid w:val="003F1250"/>
    <w:rsid w:val="003F13B5"/>
    <w:rsid w:val="003F64CF"/>
    <w:rsid w:val="00402150"/>
    <w:rsid w:val="00407D38"/>
    <w:rsid w:val="004104BF"/>
    <w:rsid w:val="00415F74"/>
    <w:rsid w:val="004203CC"/>
    <w:rsid w:val="0042191B"/>
    <w:rsid w:val="004227AE"/>
    <w:rsid w:val="00423113"/>
    <w:rsid w:val="00423460"/>
    <w:rsid w:val="00425F70"/>
    <w:rsid w:val="0042637F"/>
    <w:rsid w:val="004276FC"/>
    <w:rsid w:val="004308A0"/>
    <w:rsid w:val="00433CAA"/>
    <w:rsid w:val="00434D5C"/>
    <w:rsid w:val="004354B4"/>
    <w:rsid w:val="004361BF"/>
    <w:rsid w:val="00442F1A"/>
    <w:rsid w:val="00443848"/>
    <w:rsid w:val="00447295"/>
    <w:rsid w:val="004514C9"/>
    <w:rsid w:val="00451D58"/>
    <w:rsid w:val="00453785"/>
    <w:rsid w:val="00456413"/>
    <w:rsid w:val="00456D44"/>
    <w:rsid w:val="004606E5"/>
    <w:rsid w:val="00460720"/>
    <w:rsid w:val="00460C80"/>
    <w:rsid w:val="00462E4A"/>
    <w:rsid w:val="00464C9E"/>
    <w:rsid w:val="00465544"/>
    <w:rsid w:val="00465A6F"/>
    <w:rsid w:val="00467B1A"/>
    <w:rsid w:val="00473F34"/>
    <w:rsid w:val="00477A30"/>
    <w:rsid w:val="00477FA1"/>
    <w:rsid w:val="004824D4"/>
    <w:rsid w:val="00486885"/>
    <w:rsid w:val="004909B3"/>
    <w:rsid w:val="00494418"/>
    <w:rsid w:val="00497E2E"/>
    <w:rsid w:val="004A1CD4"/>
    <w:rsid w:val="004A34AF"/>
    <w:rsid w:val="004A3616"/>
    <w:rsid w:val="004A3A2B"/>
    <w:rsid w:val="004A3E1D"/>
    <w:rsid w:val="004B640B"/>
    <w:rsid w:val="004C1AE2"/>
    <w:rsid w:val="004C57BA"/>
    <w:rsid w:val="004D05EC"/>
    <w:rsid w:val="004D7B1C"/>
    <w:rsid w:val="004E0900"/>
    <w:rsid w:val="004E0F44"/>
    <w:rsid w:val="004E14E9"/>
    <w:rsid w:val="004E5FA2"/>
    <w:rsid w:val="004F0EA8"/>
    <w:rsid w:val="004F1EAD"/>
    <w:rsid w:val="004F22BA"/>
    <w:rsid w:val="004F2B7B"/>
    <w:rsid w:val="004F40D7"/>
    <w:rsid w:val="004F4293"/>
    <w:rsid w:val="004F4A19"/>
    <w:rsid w:val="004F7688"/>
    <w:rsid w:val="00502F99"/>
    <w:rsid w:val="005030D1"/>
    <w:rsid w:val="0050414D"/>
    <w:rsid w:val="00505C64"/>
    <w:rsid w:val="005076D0"/>
    <w:rsid w:val="00507EF3"/>
    <w:rsid w:val="005113FA"/>
    <w:rsid w:val="00516CBC"/>
    <w:rsid w:val="005237C2"/>
    <w:rsid w:val="00525E6B"/>
    <w:rsid w:val="0052724D"/>
    <w:rsid w:val="00530525"/>
    <w:rsid w:val="00530E50"/>
    <w:rsid w:val="00531A27"/>
    <w:rsid w:val="00534EE3"/>
    <w:rsid w:val="00535BEC"/>
    <w:rsid w:val="00540D86"/>
    <w:rsid w:val="005421B7"/>
    <w:rsid w:val="0054484A"/>
    <w:rsid w:val="005468B5"/>
    <w:rsid w:val="00550C75"/>
    <w:rsid w:val="005521D2"/>
    <w:rsid w:val="00553F29"/>
    <w:rsid w:val="00553F81"/>
    <w:rsid w:val="00557464"/>
    <w:rsid w:val="00561A42"/>
    <w:rsid w:val="005655E6"/>
    <w:rsid w:val="00567C5A"/>
    <w:rsid w:val="00567D9A"/>
    <w:rsid w:val="00570F0A"/>
    <w:rsid w:val="00571CD8"/>
    <w:rsid w:val="005726CE"/>
    <w:rsid w:val="00572C39"/>
    <w:rsid w:val="00574A14"/>
    <w:rsid w:val="00575BC8"/>
    <w:rsid w:val="00576378"/>
    <w:rsid w:val="005771BB"/>
    <w:rsid w:val="00580103"/>
    <w:rsid w:val="005813FE"/>
    <w:rsid w:val="00582B62"/>
    <w:rsid w:val="00583419"/>
    <w:rsid w:val="00584A2A"/>
    <w:rsid w:val="00590377"/>
    <w:rsid w:val="005904AA"/>
    <w:rsid w:val="00590AF5"/>
    <w:rsid w:val="0059250A"/>
    <w:rsid w:val="00593142"/>
    <w:rsid w:val="00593EBA"/>
    <w:rsid w:val="00594DFB"/>
    <w:rsid w:val="00594EE7"/>
    <w:rsid w:val="005955A9"/>
    <w:rsid w:val="00595F18"/>
    <w:rsid w:val="005964EF"/>
    <w:rsid w:val="005A1C09"/>
    <w:rsid w:val="005A2678"/>
    <w:rsid w:val="005A3629"/>
    <w:rsid w:val="005A43D7"/>
    <w:rsid w:val="005A4BD7"/>
    <w:rsid w:val="005A5A9C"/>
    <w:rsid w:val="005A7AD3"/>
    <w:rsid w:val="005B1220"/>
    <w:rsid w:val="005B73F1"/>
    <w:rsid w:val="005C14B2"/>
    <w:rsid w:val="005C2F11"/>
    <w:rsid w:val="005C481C"/>
    <w:rsid w:val="005D6B78"/>
    <w:rsid w:val="005F1A9F"/>
    <w:rsid w:val="005F2B30"/>
    <w:rsid w:val="005F567D"/>
    <w:rsid w:val="005F769F"/>
    <w:rsid w:val="0060079C"/>
    <w:rsid w:val="00601782"/>
    <w:rsid w:val="00601BC7"/>
    <w:rsid w:val="006030BF"/>
    <w:rsid w:val="00607183"/>
    <w:rsid w:val="00607B49"/>
    <w:rsid w:val="0061176E"/>
    <w:rsid w:val="00616530"/>
    <w:rsid w:val="0062078E"/>
    <w:rsid w:val="00622621"/>
    <w:rsid w:val="006230D9"/>
    <w:rsid w:val="006279D6"/>
    <w:rsid w:val="00630552"/>
    <w:rsid w:val="0063097E"/>
    <w:rsid w:val="0063108F"/>
    <w:rsid w:val="006312F6"/>
    <w:rsid w:val="00631AB5"/>
    <w:rsid w:val="006336D5"/>
    <w:rsid w:val="006338E8"/>
    <w:rsid w:val="00633BDC"/>
    <w:rsid w:val="00634A26"/>
    <w:rsid w:val="00637EA6"/>
    <w:rsid w:val="00643CBC"/>
    <w:rsid w:val="00645531"/>
    <w:rsid w:val="006459BD"/>
    <w:rsid w:val="0064629F"/>
    <w:rsid w:val="00647475"/>
    <w:rsid w:val="0064772F"/>
    <w:rsid w:val="00650B90"/>
    <w:rsid w:val="006516F5"/>
    <w:rsid w:val="00652AAB"/>
    <w:rsid w:val="00653EE5"/>
    <w:rsid w:val="006604BF"/>
    <w:rsid w:val="00660927"/>
    <w:rsid w:val="00663255"/>
    <w:rsid w:val="0066417F"/>
    <w:rsid w:val="0067001C"/>
    <w:rsid w:val="006736CE"/>
    <w:rsid w:val="0067420E"/>
    <w:rsid w:val="00674727"/>
    <w:rsid w:val="00676B07"/>
    <w:rsid w:val="00684530"/>
    <w:rsid w:val="006904A1"/>
    <w:rsid w:val="006A4FDA"/>
    <w:rsid w:val="006A5472"/>
    <w:rsid w:val="006A5782"/>
    <w:rsid w:val="006A794A"/>
    <w:rsid w:val="006B3633"/>
    <w:rsid w:val="006B3D29"/>
    <w:rsid w:val="006B4AB7"/>
    <w:rsid w:val="006B5C93"/>
    <w:rsid w:val="006C3417"/>
    <w:rsid w:val="006C57F9"/>
    <w:rsid w:val="006C5E5B"/>
    <w:rsid w:val="006D23A0"/>
    <w:rsid w:val="006D40FC"/>
    <w:rsid w:val="006D423E"/>
    <w:rsid w:val="006E23CC"/>
    <w:rsid w:val="006E3D98"/>
    <w:rsid w:val="006E42C6"/>
    <w:rsid w:val="006E4655"/>
    <w:rsid w:val="006F15F3"/>
    <w:rsid w:val="006F23A7"/>
    <w:rsid w:val="006F2FD9"/>
    <w:rsid w:val="006F4ED2"/>
    <w:rsid w:val="006F66F4"/>
    <w:rsid w:val="006F6D59"/>
    <w:rsid w:val="006F7DCF"/>
    <w:rsid w:val="007040B0"/>
    <w:rsid w:val="0070416F"/>
    <w:rsid w:val="00704CE8"/>
    <w:rsid w:val="007057B1"/>
    <w:rsid w:val="00705A4D"/>
    <w:rsid w:val="00707615"/>
    <w:rsid w:val="00707708"/>
    <w:rsid w:val="00721900"/>
    <w:rsid w:val="00724034"/>
    <w:rsid w:val="00725D08"/>
    <w:rsid w:val="00727705"/>
    <w:rsid w:val="00730AE5"/>
    <w:rsid w:val="00735A56"/>
    <w:rsid w:val="00736EFC"/>
    <w:rsid w:val="0074173F"/>
    <w:rsid w:val="00743571"/>
    <w:rsid w:val="00743B18"/>
    <w:rsid w:val="007441C2"/>
    <w:rsid w:val="00744723"/>
    <w:rsid w:val="00747D62"/>
    <w:rsid w:val="00747DE5"/>
    <w:rsid w:val="00750E5D"/>
    <w:rsid w:val="00753098"/>
    <w:rsid w:val="007539B0"/>
    <w:rsid w:val="007547D1"/>
    <w:rsid w:val="00754BE6"/>
    <w:rsid w:val="00754F05"/>
    <w:rsid w:val="007559ED"/>
    <w:rsid w:val="00755F59"/>
    <w:rsid w:val="00756C1E"/>
    <w:rsid w:val="007617B3"/>
    <w:rsid w:val="0076183D"/>
    <w:rsid w:val="007654F1"/>
    <w:rsid w:val="00766DB9"/>
    <w:rsid w:val="00770EBB"/>
    <w:rsid w:val="0077469C"/>
    <w:rsid w:val="00775682"/>
    <w:rsid w:val="00775CF3"/>
    <w:rsid w:val="007776D1"/>
    <w:rsid w:val="0078021D"/>
    <w:rsid w:val="0078522E"/>
    <w:rsid w:val="007943DB"/>
    <w:rsid w:val="00794EF4"/>
    <w:rsid w:val="00796BDF"/>
    <w:rsid w:val="00797D2B"/>
    <w:rsid w:val="007A179B"/>
    <w:rsid w:val="007A1FC0"/>
    <w:rsid w:val="007A29B1"/>
    <w:rsid w:val="007A2D7D"/>
    <w:rsid w:val="007A5A39"/>
    <w:rsid w:val="007A5F89"/>
    <w:rsid w:val="007A6BAE"/>
    <w:rsid w:val="007B2327"/>
    <w:rsid w:val="007B5E22"/>
    <w:rsid w:val="007B6356"/>
    <w:rsid w:val="007C2585"/>
    <w:rsid w:val="007C5DE5"/>
    <w:rsid w:val="007C6544"/>
    <w:rsid w:val="007C70A2"/>
    <w:rsid w:val="007D08B3"/>
    <w:rsid w:val="007D4C3D"/>
    <w:rsid w:val="007D7D83"/>
    <w:rsid w:val="007E6877"/>
    <w:rsid w:val="007E6CCD"/>
    <w:rsid w:val="007E771F"/>
    <w:rsid w:val="007F3575"/>
    <w:rsid w:val="007F60F1"/>
    <w:rsid w:val="00800536"/>
    <w:rsid w:val="008005F4"/>
    <w:rsid w:val="00802C10"/>
    <w:rsid w:val="00803764"/>
    <w:rsid w:val="008077ED"/>
    <w:rsid w:val="00812C30"/>
    <w:rsid w:val="00817787"/>
    <w:rsid w:val="008215B2"/>
    <w:rsid w:val="00823860"/>
    <w:rsid w:val="00823E5A"/>
    <w:rsid w:val="008253E3"/>
    <w:rsid w:val="00826A4D"/>
    <w:rsid w:val="00830CD0"/>
    <w:rsid w:val="008317DC"/>
    <w:rsid w:val="00832DF8"/>
    <w:rsid w:val="0083467B"/>
    <w:rsid w:val="00836A3D"/>
    <w:rsid w:val="0084181C"/>
    <w:rsid w:val="00843CBF"/>
    <w:rsid w:val="00844D14"/>
    <w:rsid w:val="00846BFA"/>
    <w:rsid w:val="00850D1A"/>
    <w:rsid w:val="00850F8E"/>
    <w:rsid w:val="00852BF3"/>
    <w:rsid w:val="00853B1B"/>
    <w:rsid w:val="008544A7"/>
    <w:rsid w:val="00856090"/>
    <w:rsid w:val="00856B5E"/>
    <w:rsid w:val="0086133A"/>
    <w:rsid w:val="00862761"/>
    <w:rsid w:val="008655CC"/>
    <w:rsid w:val="00867364"/>
    <w:rsid w:val="008750E8"/>
    <w:rsid w:val="00875FAF"/>
    <w:rsid w:val="00876DCF"/>
    <w:rsid w:val="00877B6F"/>
    <w:rsid w:val="00880692"/>
    <w:rsid w:val="008823BD"/>
    <w:rsid w:val="00886BEF"/>
    <w:rsid w:val="00890626"/>
    <w:rsid w:val="0089402E"/>
    <w:rsid w:val="00896194"/>
    <w:rsid w:val="0089640F"/>
    <w:rsid w:val="00897CD6"/>
    <w:rsid w:val="00897FEA"/>
    <w:rsid w:val="008A012C"/>
    <w:rsid w:val="008A1BCD"/>
    <w:rsid w:val="008A2C97"/>
    <w:rsid w:val="008B0067"/>
    <w:rsid w:val="008B48D7"/>
    <w:rsid w:val="008C3154"/>
    <w:rsid w:val="008C5B80"/>
    <w:rsid w:val="008C6C44"/>
    <w:rsid w:val="008D0426"/>
    <w:rsid w:val="008D1F2F"/>
    <w:rsid w:val="008D26E8"/>
    <w:rsid w:val="008D30B0"/>
    <w:rsid w:val="008D65E7"/>
    <w:rsid w:val="008E1278"/>
    <w:rsid w:val="008E1C6A"/>
    <w:rsid w:val="008E52EF"/>
    <w:rsid w:val="008E5AF2"/>
    <w:rsid w:val="008E5ED7"/>
    <w:rsid w:val="008E7F86"/>
    <w:rsid w:val="008F0724"/>
    <w:rsid w:val="008F0E86"/>
    <w:rsid w:val="008F10AC"/>
    <w:rsid w:val="008F230B"/>
    <w:rsid w:val="008F55A6"/>
    <w:rsid w:val="008F6F34"/>
    <w:rsid w:val="0090138E"/>
    <w:rsid w:val="00904244"/>
    <w:rsid w:val="00906E67"/>
    <w:rsid w:val="0090730E"/>
    <w:rsid w:val="0091070A"/>
    <w:rsid w:val="00913388"/>
    <w:rsid w:val="00915471"/>
    <w:rsid w:val="00916E52"/>
    <w:rsid w:val="009170C6"/>
    <w:rsid w:val="00917AEB"/>
    <w:rsid w:val="00921BFA"/>
    <w:rsid w:val="00922851"/>
    <w:rsid w:val="00926BA0"/>
    <w:rsid w:val="00930FBA"/>
    <w:rsid w:val="00932546"/>
    <w:rsid w:val="00932669"/>
    <w:rsid w:val="0093435F"/>
    <w:rsid w:val="00934454"/>
    <w:rsid w:val="00935BDE"/>
    <w:rsid w:val="0094120A"/>
    <w:rsid w:val="00941C6F"/>
    <w:rsid w:val="009453FF"/>
    <w:rsid w:val="00945E76"/>
    <w:rsid w:val="009502A5"/>
    <w:rsid w:val="009539F7"/>
    <w:rsid w:val="00954231"/>
    <w:rsid w:val="00954AFA"/>
    <w:rsid w:val="009551F5"/>
    <w:rsid w:val="00957DFB"/>
    <w:rsid w:val="009607F9"/>
    <w:rsid w:val="00962108"/>
    <w:rsid w:val="00962D9C"/>
    <w:rsid w:val="009632D9"/>
    <w:rsid w:val="0096355D"/>
    <w:rsid w:val="00965A71"/>
    <w:rsid w:val="00965D5B"/>
    <w:rsid w:val="00965D60"/>
    <w:rsid w:val="00966F63"/>
    <w:rsid w:val="00967958"/>
    <w:rsid w:val="009700CA"/>
    <w:rsid w:val="0097118C"/>
    <w:rsid w:val="009715CF"/>
    <w:rsid w:val="00972619"/>
    <w:rsid w:val="00973047"/>
    <w:rsid w:val="00974EED"/>
    <w:rsid w:val="00975B5E"/>
    <w:rsid w:val="009816CD"/>
    <w:rsid w:val="00984B0F"/>
    <w:rsid w:val="00984CFF"/>
    <w:rsid w:val="00984DC6"/>
    <w:rsid w:val="00984F3F"/>
    <w:rsid w:val="00985686"/>
    <w:rsid w:val="00985FC3"/>
    <w:rsid w:val="00985FD4"/>
    <w:rsid w:val="00991A58"/>
    <w:rsid w:val="009921BB"/>
    <w:rsid w:val="0099356E"/>
    <w:rsid w:val="00994566"/>
    <w:rsid w:val="00994C01"/>
    <w:rsid w:val="0099534B"/>
    <w:rsid w:val="009968C8"/>
    <w:rsid w:val="009A0DDC"/>
    <w:rsid w:val="009A2A8C"/>
    <w:rsid w:val="009A327E"/>
    <w:rsid w:val="009B459E"/>
    <w:rsid w:val="009B46DF"/>
    <w:rsid w:val="009C023C"/>
    <w:rsid w:val="009C0F9E"/>
    <w:rsid w:val="009C266B"/>
    <w:rsid w:val="009C29E2"/>
    <w:rsid w:val="009C4256"/>
    <w:rsid w:val="009C5371"/>
    <w:rsid w:val="009C5CF6"/>
    <w:rsid w:val="009C5E4E"/>
    <w:rsid w:val="009C7AC2"/>
    <w:rsid w:val="009D050B"/>
    <w:rsid w:val="009D0F78"/>
    <w:rsid w:val="009D5D55"/>
    <w:rsid w:val="009D72B7"/>
    <w:rsid w:val="009E13E4"/>
    <w:rsid w:val="009E2D2D"/>
    <w:rsid w:val="009E34A7"/>
    <w:rsid w:val="009E5FB2"/>
    <w:rsid w:val="009E67D2"/>
    <w:rsid w:val="009F03B6"/>
    <w:rsid w:val="009F03B7"/>
    <w:rsid w:val="009F2E03"/>
    <w:rsid w:val="009F3C0D"/>
    <w:rsid w:val="00A00EAA"/>
    <w:rsid w:val="00A01035"/>
    <w:rsid w:val="00A022E0"/>
    <w:rsid w:val="00A0359D"/>
    <w:rsid w:val="00A03FB2"/>
    <w:rsid w:val="00A0422A"/>
    <w:rsid w:val="00A042EC"/>
    <w:rsid w:val="00A04767"/>
    <w:rsid w:val="00A04C79"/>
    <w:rsid w:val="00A052BC"/>
    <w:rsid w:val="00A06C93"/>
    <w:rsid w:val="00A11E19"/>
    <w:rsid w:val="00A11F2E"/>
    <w:rsid w:val="00A12238"/>
    <w:rsid w:val="00A13878"/>
    <w:rsid w:val="00A20D3D"/>
    <w:rsid w:val="00A21C7F"/>
    <w:rsid w:val="00A22B50"/>
    <w:rsid w:val="00A26BEE"/>
    <w:rsid w:val="00A26E78"/>
    <w:rsid w:val="00A274F5"/>
    <w:rsid w:val="00A27558"/>
    <w:rsid w:val="00A27FD9"/>
    <w:rsid w:val="00A30843"/>
    <w:rsid w:val="00A335BC"/>
    <w:rsid w:val="00A346CD"/>
    <w:rsid w:val="00A35C8B"/>
    <w:rsid w:val="00A360EB"/>
    <w:rsid w:val="00A403C3"/>
    <w:rsid w:val="00A41545"/>
    <w:rsid w:val="00A42FB7"/>
    <w:rsid w:val="00A437C7"/>
    <w:rsid w:val="00A447BF"/>
    <w:rsid w:val="00A45C67"/>
    <w:rsid w:val="00A505CC"/>
    <w:rsid w:val="00A5462C"/>
    <w:rsid w:val="00A54C03"/>
    <w:rsid w:val="00A54C06"/>
    <w:rsid w:val="00A562B7"/>
    <w:rsid w:val="00A60014"/>
    <w:rsid w:val="00A601EA"/>
    <w:rsid w:val="00A60946"/>
    <w:rsid w:val="00A640D3"/>
    <w:rsid w:val="00A67A7C"/>
    <w:rsid w:val="00A70313"/>
    <w:rsid w:val="00A76BB1"/>
    <w:rsid w:val="00A80256"/>
    <w:rsid w:val="00A834BA"/>
    <w:rsid w:val="00A84041"/>
    <w:rsid w:val="00A84920"/>
    <w:rsid w:val="00A84CEA"/>
    <w:rsid w:val="00A8550E"/>
    <w:rsid w:val="00A85814"/>
    <w:rsid w:val="00A8588E"/>
    <w:rsid w:val="00A8766B"/>
    <w:rsid w:val="00A921D8"/>
    <w:rsid w:val="00A96A05"/>
    <w:rsid w:val="00A97FAE"/>
    <w:rsid w:val="00AA06F2"/>
    <w:rsid w:val="00AA59A7"/>
    <w:rsid w:val="00AA72D7"/>
    <w:rsid w:val="00AB1339"/>
    <w:rsid w:val="00AB27CA"/>
    <w:rsid w:val="00AB2A5C"/>
    <w:rsid w:val="00AB3603"/>
    <w:rsid w:val="00AB6B58"/>
    <w:rsid w:val="00AB6EE1"/>
    <w:rsid w:val="00AB7A63"/>
    <w:rsid w:val="00AC0370"/>
    <w:rsid w:val="00AC0B92"/>
    <w:rsid w:val="00AC1A3D"/>
    <w:rsid w:val="00AC5A6E"/>
    <w:rsid w:val="00AC694C"/>
    <w:rsid w:val="00AC716D"/>
    <w:rsid w:val="00AD1962"/>
    <w:rsid w:val="00AD21BB"/>
    <w:rsid w:val="00AD4379"/>
    <w:rsid w:val="00AE069F"/>
    <w:rsid w:val="00AE0BF5"/>
    <w:rsid w:val="00AE3393"/>
    <w:rsid w:val="00AE4A58"/>
    <w:rsid w:val="00AE6891"/>
    <w:rsid w:val="00AE76CE"/>
    <w:rsid w:val="00AF029B"/>
    <w:rsid w:val="00AF24BF"/>
    <w:rsid w:val="00AF28A4"/>
    <w:rsid w:val="00AF4164"/>
    <w:rsid w:val="00AF6748"/>
    <w:rsid w:val="00AF6789"/>
    <w:rsid w:val="00AF685A"/>
    <w:rsid w:val="00AF6F9A"/>
    <w:rsid w:val="00B00CF0"/>
    <w:rsid w:val="00B0189E"/>
    <w:rsid w:val="00B0595D"/>
    <w:rsid w:val="00B06731"/>
    <w:rsid w:val="00B0726F"/>
    <w:rsid w:val="00B10D38"/>
    <w:rsid w:val="00B17501"/>
    <w:rsid w:val="00B17F96"/>
    <w:rsid w:val="00B20CFC"/>
    <w:rsid w:val="00B24545"/>
    <w:rsid w:val="00B26A0B"/>
    <w:rsid w:val="00B27288"/>
    <w:rsid w:val="00B3133C"/>
    <w:rsid w:val="00B34161"/>
    <w:rsid w:val="00B37866"/>
    <w:rsid w:val="00B37CF5"/>
    <w:rsid w:val="00B4020D"/>
    <w:rsid w:val="00B43FA2"/>
    <w:rsid w:val="00B450DC"/>
    <w:rsid w:val="00B459DE"/>
    <w:rsid w:val="00B45D0E"/>
    <w:rsid w:val="00B46EA4"/>
    <w:rsid w:val="00B47E85"/>
    <w:rsid w:val="00B51E55"/>
    <w:rsid w:val="00B54FE0"/>
    <w:rsid w:val="00B557ED"/>
    <w:rsid w:val="00B56188"/>
    <w:rsid w:val="00B56685"/>
    <w:rsid w:val="00B611D5"/>
    <w:rsid w:val="00B64ADD"/>
    <w:rsid w:val="00B65F0B"/>
    <w:rsid w:val="00B666E9"/>
    <w:rsid w:val="00B67046"/>
    <w:rsid w:val="00B77409"/>
    <w:rsid w:val="00B805FB"/>
    <w:rsid w:val="00B8080F"/>
    <w:rsid w:val="00B80AF9"/>
    <w:rsid w:val="00B816EF"/>
    <w:rsid w:val="00B82710"/>
    <w:rsid w:val="00B853C1"/>
    <w:rsid w:val="00B901BB"/>
    <w:rsid w:val="00B918C1"/>
    <w:rsid w:val="00B91BCB"/>
    <w:rsid w:val="00B9538B"/>
    <w:rsid w:val="00B95C74"/>
    <w:rsid w:val="00B97AA3"/>
    <w:rsid w:val="00BA043A"/>
    <w:rsid w:val="00BA0639"/>
    <w:rsid w:val="00BA420F"/>
    <w:rsid w:val="00BA56D7"/>
    <w:rsid w:val="00BA5AFE"/>
    <w:rsid w:val="00BA6C56"/>
    <w:rsid w:val="00BB3B3F"/>
    <w:rsid w:val="00BB5EEC"/>
    <w:rsid w:val="00BB6BD4"/>
    <w:rsid w:val="00BC041E"/>
    <w:rsid w:val="00BC0AAF"/>
    <w:rsid w:val="00BC0B1E"/>
    <w:rsid w:val="00BC2981"/>
    <w:rsid w:val="00BC4B75"/>
    <w:rsid w:val="00BC6010"/>
    <w:rsid w:val="00BC60AC"/>
    <w:rsid w:val="00BC71B1"/>
    <w:rsid w:val="00BD04C0"/>
    <w:rsid w:val="00BD1A9F"/>
    <w:rsid w:val="00BD21DC"/>
    <w:rsid w:val="00BD25E1"/>
    <w:rsid w:val="00BD26D9"/>
    <w:rsid w:val="00BD2D98"/>
    <w:rsid w:val="00BD3432"/>
    <w:rsid w:val="00BD6897"/>
    <w:rsid w:val="00BD7A96"/>
    <w:rsid w:val="00BE0FDC"/>
    <w:rsid w:val="00BE22FD"/>
    <w:rsid w:val="00BE2BE5"/>
    <w:rsid w:val="00BE33EA"/>
    <w:rsid w:val="00BE38C6"/>
    <w:rsid w:val="00BE3C22"/>
    <w:rsid w:val="00BE7075"/>
    <w:rsid w:val="00BE74FB"/>
    <w:rsid w:val="00BF3788"/>
    <w:rsid w:val="00BF6076"/>
    <w:rsid w:val="00BF7324"/>
    <w:rsid w:val="00BF7EAE"/>
    <w:rsid w:val="00C01B60"/>
    <w:rsid w:val="00C02CA6"/>
    <w:rsid w:val="00C061DD"/>
    <w:rsid w:val="00C102D7"/>
    <w:rsid w:val="00C108A8"/>
    <w:rsid w:val="00C10A79"/>
    <w:rsid w:val="00C114EC"/>
    <w:rsid w:val="00C14B4F"/>
    <w:rsid w:val="00C2383E"/>
    <w:rsid w:val="00C24711"/>
    <w:rsid w:val="00C27D0B"/>
    <w:rsid w:val="00C31761"/>
    <w:rsid w:val="00C33395"/>
    <w:rsid w:val="00C360F1"/>
    <w:rsid w:val="00C42823"/>
    <w:rsid w:val="00C5179C"/>
    <w:rsid w:val="00C5441B"/>
    <w:rsid w:val="00C610EE"/>
    <w:rsid w:val="00C624D2"/>
    <w:rsid w:val="00C63283"/>
    <w:rsid w:val="00C70C07"/>
    <w:rsid w:val="00C71A80"/>
    <w:rsid w:val="00C80805"/>
    <w:rsid w:val="00C8132C"/>
    <w:rsid w:val="00C837A3"/>
    <w:rsid w:val="00C8624C"/>
    <w:rsid w:val="00C9467E"/>
    <w:rsid w:val="00C96FF1"/>
    <w:rsid w:val="00CB0AC8"/>
    <w:rsid w:val="00CB4EA3"/>
    <w:rsid w:val="00CB577A"/>
    <w:rsid w:val="00CB59CC"/>
    <w:rsid w:val="00CB623B"/>
    <w:rsid w:val="00CB6C29"/>
    <w:rsid w:val="00CB6D79"/>
    <w:rsid w:val="00CC04B0"/>
    <w:rsid w:val="00CC0BE6"/>
    <w:rsid w:val="00CC12D2"/>
    <w:rsid w:val="00CC590C"/>
    <w:rsid w:val="00CC632A"/>
    <w:rsid w:val="00CC7F34"/>
    <w:rsid w:val="00CD18BB"/>
    <w:rsid w:val="00CD2015"/>
    <w:rsid w:val="00CD3036"/>
    <w:rsid w:val="00CD3DE0"/>
    <w:rsid w:val="00CD4894"/>
    <w:rsid w:val="00CD4F1C"/>
    <w:rsid w:val="00CD7BC3"/>
    <w:rsid w:val="00CE0D7D"/>
    <w:rsid w:val="00CE1951"/>
    <w:rsid w:val="00CE1CE4"/>
    <w:rsid w:val="00CE5000"/>
    <w:rsid w:val="00CE52EC"/>
    <w:rsid w:val="00CE5AAD"/>
    <w:rsid w:val="00CE7534"/>
    <w:rsid w:val="00CF2454"/>
    <w:rsid w:val="00CF359D"/>
    <w:rsid w:val="00CF3AF4"/>
    <w:rsid w:val="00CF4F85"/>
    <w:rsid w:val="00D00E56"/>
    <w:rsid w:val="00D03928"/>
    <w:rsid w:val="00D04AF7"/>
    <w:rsid w:val="00D06690"/>
    <w:rsid w:val="00D121E8"/>
    <w:rsid w:val="00D12553"/>
    <w:rsid w:val="00D12E10"/>
    <w:rsid w:val="00D139A5"/>
    <w:rsid w:val="00D13B75"/>
    <w:rsid w:val="00D14961"/>
    <w:rsid w:val="00D30B50"/>
    <w:rsid w:val="00D34A60"/>
    <w:rsid w:val="00D34FA4"/>
    <w:rsid w:val="00D35BC7"/>
    <w:rsid w:val="00D35BD9"/>
    <w:rsid w:val="00D364C3"/>
    <w:rsid w:val="00D37066"/>
    <w:rsid w:val="00D37832"/>
    <w:rsid w:val="00D40AEF"/>
    <w:rsid w:val="00D5073B"/>
    <w:rsid w:val="00D5308C"/>
    <w:rsid w:val="00D53F59"/>
    <w:rsid w:val="00D54850"/>
    <w:rsid w:val="00D562ED"/>
    <w:rsid w:val="00D563A4"/>
    <w:rsid w:val="00D57823"/>
    <w:rsid w:val="00D63C28"/>
    <w:rsid w:val="00D649CE"/>
    <w:rsid w:val="00D64CFF"/>
    <w:rsid w:val="00D65595"/>
    <w:rsid w:val="00D669E1"/>
    <w:rsid w:val="00D7112E"/>
    <w:rsid w:val="00D72B26"/>
    <w:rsid w:val="00D72FE0"/>
    <w:rsid w:val="00D755AE"/>
    <w:rsid w:val="00D84500"/>
    <w:rsid w:val="00D85251"/>
    <w:rsid w:val="00D87E44"/>
    <w:rsid w:val="00D911C9"/>
    <w:rsid w:val="00D9147C"/>
    <w:rsid w:val="00D92EB3"/>
    <w:rsid w:val="00D93AB8"/>
    <w:rsid w:val="00D951D8"/>
    <w:rsid w:val="00D95A14"/>
    <w:rsid w:val="00D9610F"/>
    <w:rsid w:val="00D96155"/>
    <w:rsid w:val="00D97B0C"/>
    <w:rsid w:val="00DA0361"/>
    <w:rsid w:val="00DA49BE"/>
    <w:rsid w:val="00DA4F75"/>
    <w:rsid w:val="00DA7F19"/>
    <w:rsid w:val="00DB0D01"/>
    <w:rsid w:val="00DB24BF"/>
    <w:rsid w:val="00DB3EC5"/>
    <w:rsid w:val="00DB5117"/>
    <w:rsid w:val="00DB752B"/>
    <w:rsid w:val="00DB798D"/>
    <w:rsid w:val="00DC0B34"/>
    <w:rsid w:val="00DC2921"/>
    <w:rsid w:val="00DC3756"/>
    <w:rsid w:val="00DC72FD"/>
    <w:rsid w:val="00DD7CE6"/>
    <w:rsid w:val="00DE12D9"/>
    <w:rsid w:val="00DE1EA7"/>
    <w:rsid w:val="00DE350D"/>
    <w:rsid w:val="00DE3701"/>
    <w:rsid w:val="00DE6FD7"/>
    <w:rsid w:val="00DE78EC"/>
    <w:rsid w:val="00DF0D12"/>
    <w:rsid w:val="00DF5232"/>
    <w:rsid w:val="00DF61C2"/>
    <w:rsid w:val="00E015ED"/>
    <w:rsid w:val="00E02659"/>
    <w:rsid w:val="00E061B6"/>
    <w:rsid w:val="00E1017D"/>
    <w:rsid w:val="00E10DC6"/>
    <w:rsid w:val="00E118C5"/>
    <w:rsid w:val="00E15470"/>
    <w:rsid w:val="00E17702"/>
    <w:rsid w:val="00E22DDC"/>
    <w:rsid w:val="00E2414D"/>
    <w:rsid w:val="00E272AB"/>
    <w:rsid w:val="00E32589"/>
    <w:rsid w:val="00E32694"/>
    <w:rsid w:val="00E33812"/>
    <w:rsid w:val="00E34D3C"/>
    <w:rsid w:val="00E35038"/>
    <w:rsid w:val="00E378FA"/>
    <w:rsid w:val="00E4038B"/>
    <w:rsid w:val="00E40644"/>
    <w:rsid w:val="00E41937"/>
    <w:rsid w:val="00E42592"/>
    <w:rsid w:val="00E42EE4"/>
    <w:rsid w:val="00E432DE"/>
    <w:rsid w:val="00E4367B"/>
    <w:rsid w:val="00E43D71"/>
    <w:rsid w:val="00E44216"/>
    <w:rsid w:val="00E4484B"/>
    <w:rsid w:val="00E45299"/>
    <w:rsid w:val="00E463C2"/>
    <w:rsid w:val="00E467C4"/>
    <w:rsid w:val="00E52237"/>
    <w:rsid w:val="00E6004C"/>
    <w:rsid w:val="00E601EF"/>
    <w:rsid w:val="00E61E77"/>
    <w:rsid w:val="00E62FFC"/>
    <w:rsid w:val="00E64246"/>
    <w:rsid w:val="00E649F3"/>
    <w:rsid w:val="00E7036E"/>
    <w:rsid w:val="00E70D7B"/>
    <w:rsid w:val="00E72AE6"/>
    <w:rsid w:val="00E72BFC"/>
    <w:rsid w:val="00E803C7"/>
    <w:rsid w:val="00E81E2A"/>
    <w:rsid w:val="00E84F38"/>
    <w:rsid w:val="00E8650D"/>
    <w:rsid w:val="00E96E17"/>
    <w:rsid w:val="00EA1FA4"/>
    <w:rsid w:val="00EA2846"/>
    <w:rsid w:val="00EA5A00"/>
    <w:rsid w:val="00EA6461"/>
    <w:rsid w:val="00EB13E9"/>
    <w:rsid w:val="00EB168F"/>
    <w:rsid w:val="00EB3FCD"/>
    <w:rsid w:val="00EB4215"/>
    <w:rsid w:val="00EB63FE"/>
    <w:rsid w:val="00EB64FA"/>
    <w:rsid w:val="00EC01E1"/>
    <w:rsid w:val="00EC170F"/>
    <w:rsid w:val="00EC1D16"/>
    <w:rsid w:val="00EC1D23"/>
    <w:rsid w:val="00EC37BC"/>
    <w:rsid w:val="00EC3E73"/>
    <w:rsid w:val="00EC7FCF"/>
    <w:rsid w:val="00ED0002"/>
    <w:rsid w:val="00ED1041"/>
    <w:rsid w:val="00ED4776"/>
    <w:rsid w:val="00ED5F7F"/>
    <w:rsid w:val="00ED6D6D"/>
    <w:rsid w:val="00EE004C"/>
    <w:rsid w:val="00EE2103"/>
    <w:rsid w:val="00EE7D92"/>
    <w:rsid w:val="00EF1C7D"/>
    <w:rsid w:val="00EF312B"/>
    <w:rsid w:val="00EF324A"/>
    <w:rsid w:val="00EF4E8A"/>
    <w:rsid w:val="00EF5109"/>
    <w:rsid w:val="00EF7251"/>
    <w:rsid w:val="00F03AEE"/>
    <w:rsid w:val="00F05840"/>
    <w:rsid w:val="00F06799"/>
    <w:rsid w:val="00F07026"/>
    <w:rsid w:val="00F101D1"/>
    <w:rsid w:val="00F12505"/>
    <w:rsid w:val="00F129E6"/>
    <w:rsid w:val="00F12DDF"/>
    <w:rsid w:val="00F15BB7"/>
    <w:rsid w:val="00F17F64"/>
    <w:rsid w:val="00F17FDE"/>
    <w:rsid w:val="00F17FFC"/>
    <w:rsid w:val="00F207CF"/>
    <w:rsid w:val="00F226FB"/>
    <w:rsid w:val="00F22B9F"/>
    <w:rsid w:val="00F2336D"/>
    <w:rsid w:val="00F2695F"/>
    <w:rsid w:val="00F26A0D"/>
    <w:rsid w:val="00F30097"/>
    <w:rsid w:val="00F302AB"/>
    <w:rsid w:val="00F32272"/>
    <w:rsid w:val="00F3548E"/>
    <w:rsid w:val="00F35AFA"/>
    <w:rsid w:val="00F41BC4"/>
    <w:rsid w:val="00F47EB4"/>
    <w:rsid w:val="00F52062"/>
    <w:rsid w:val="00F53DE7"/>
    <w:rsid w:val="00F54F61"/>
    <w:rsid w:val="00F555DB"/>
    <w:rsid w:val="00F55F84"/>
    <w:rsid w:val="00F570C5"/>
    <w:rsid w:val="00F57900"/>
    <w:rsid w:val="00F603C1"/>
    <w:rsid w:val="00F609FD"/>
    <w:rsid w:val="00F60AD1"/>
    <w:rsid w:val="00F61EF5"/>
    <w:rsid w:val="00F62452"/>
    <w:rsid w:val="00F63263"/>
    <w:rsid w:val="00F63F7A"/>
    <w:rsid w:val="00F66184"/>
    <w:rsid w:val="00F67678"/>
    <w:rsid w:val="00F71BD3"/>
    <w:rsid w:val="00F72DD7"/>
    <w:rsid w:val="00F74B08"/>
    <w:rsid w:val="00F754CC"/>
    <w:rsid w:val="00F85993"/>
    <w:rsid w:val="00F86CC3"/>
    <w:rsid w:val="00F87E3F"/>
    <w:rsid w:val="00F9251B"/>
    <w:rsid w:val="00F93E0B"/>
    <w:rsid w:val="00F957FB"/>
    <w:rsid w:val="00F96009"/>
    <w:rsid w:val="00F9640A"/>
    <w:rsid w:val="00F97DCD"/>
    <w:rsid w:val="00FA00AA"/>
    <w:rsid w:val="00FA071B"/>
    <w:rsid w:val="00FA242F"/>
    <w:rsid w:val="00FA2C91"/>
    <w:rsid w:val="00FA3482"/>
    <w:rsid w:val="00FB1215"/>
    <w:rsid w:val="00FB2484"/>
    <w:rsid w:val="00FB53CF"/>
    <w:rsid w:val="00FB7DB9"/>
    <w:rsid w:val="00FC2142"/>
    <w:rsid w:val="00FC7DA8"/>
    <w:rsid w:val="00FC7EFE"/>
    <w:rsid w:val="00FD0FE2"/>
    <w:rsid w:val="00FD45C1"/>
    <w:rsid w:val="00FE0708"/>
    <w:rsid w:val="00FE3D20"/>
    <w:rsid w:val="00FE427E"/>
    <w:rsid w:val="00FE6C3E"/>
    <w:rsid w:val="00FE721F"/>
    <w:rsid w:val="00FE7951"/>
    <w:rsid w:val="00FF0021"/>
    <w:rsid w:val="3E4C76D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qFormat="1"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360" w:lineRule="auto"/>
      <w:jc w:val="both"/>
    </w:pPr>
    <w:rPr>
      <w:rFonts w:ascii="Times New Roman" w:hAnsi="Times New Roman" w:eastAsiaTheme="minorHAnsi" w:cstheme="minorBidi"/>
      <w:sz w:val="24"/>
      <w:szCs w:val="22"/>
      <w:lang w:val="en-GB" w:eastAsia="en-US" w:bidi="ar-SA"/>
    </w:rPr>
  </w:style>
  <w:style w:type="paragraph" w:styleId="2">
    <w:name w:val="heading 1"/>
    <w:basedOn w:val="1"/>
    <w:next w:val="1"/>
    <w:link w:val="27"/>
    <w:qFormat/>
    <w:uiPriority w:val="9"/>
    <w:pPr>
      <w:keepNext/>
      <w:keepLines/>
      <w:numPr>
        <w:ilvl w:val="0"/>
        <w:numId w:val="1"/>
      </w:numPr>
      <w:spacing w:before="240" w:after="0" w:line="240" w:lineRule="auto"/>
      <w:jc w:val="center"/>
      <w:outlineLvl w:val="0"/>
    </w:pPr>
    <w:rPr>
      <w:rFonts w:eastAsiaTheme="majorEastAsia" w:cstheme="majorBidi"/>
      <w:b/>
      <w:color w:val="000000" w:themeColor="text1"/>
      <w:szCs w:val="32"/>
      <w14:textFill>
        <w14:solidFill>
          <w14:schemeClr w14:val="tx1"/>
        </w14:solidFill>
      </w14:textFill>
    </w:rPr>
  </w:style>
  <w:style w:type="paragraph" w:styleId="3">
    <w:name w:val="heading 2"/>
    <w:basedOn w:val="1"/>
    <w:next w:val="1"/>
    <w:link w:val="28"/>
    <w:unhideWhenUsed/>
    <w:qFormat/>
    <w:uiPriority w:val="9"/>
    <w:pPr>
      <w:keepNext/>
      <w:keepLines/>
      <w:numPr>
        <w:ilvl w:val="1"/>
        <w:numId w:val="1"/>
      </w:numPr>
      <w:spacing w:before="40" w:after="0"/>
      <w:outlineLvl w:val="1"/>
    </w:pPr>
    <w:rPr>
      <w:rFonts w:eastAsiaTheme="majorEastAsia" w:cstheme="majorBidi"/>
      <w:i/>
      <w:color w:val="000000" w:themeColor="text1"/>
      <w:szCs w:val="26"/>
      <w14:textFill>
        <w14:solidFill>
          <w14:schemeClr w14:val="tx1"/>
        </w14:solidFill>
      </w14:textFill>
    </w:rPr>
  </w:style>
  <w:style w:type="paragraph" w:styleId="4">
    <w:name w:val="heading 3"/>
    <w:basedOn w:val="1"/>
    <w:next w:val="1"/>
    <w:link w:val="29"/>
    <w:unhideWhenUsed/>
    <w:qFormat/>
    <w:uiPriority w:val="9"/>
    <w:pPr>
      <w:keepNext/>
      <w:keepLines/>
      <w:numPr>
        <w:ilvl w:val="2"/>
        <w:numId w:val="1"/>
      </w:numPr>
      <w:spacing w:before="40" w:after="0"/>
      <w:outlineLvl w:val="2"/>
    </w:pPr>
    <w:rPr>
      <w:rFonts w:eastAsiaTheme="majorEastAsia" w:cstheme="majorBidi"/>
      <w:szCs w:val="24"/>
    </w:rPr>
  </w:style>
  <w:style w:type="paragraph" w:styleId="5">
    <w:name w:val="heading 4"/>
    <w:basedOn w:val="1"/>
    <w:next w:val="1"/>
    <w:link w:val="30"/>
    <w:semiHidden/>
    <w:unhideWhenUsed/>
    <w:qFormat/>
    <w:uiPriority w:val="9"/>
    <w:pPr>
      <w:keepNext/>
      <w:keepLines/>
      <w:numPr>
        <w:ilvl w:val="3"/>
        <w:numId w:val="1"/>
      </w:numPr>
      <w:spacing w:before="40" w:after="0"/>
      <w:outlineLvl w:val="3"/>
    </w:pPr>
    <w:rPr>
      <w:rFonts w:asciiTheme="majorHAnsi" w:hAnsiTheme="majorHAnsi" w:eastAsiaTheme="majorEastAsia" w:cstheme="majorBidi"/>
      <w:i/>
      <w:iCs/>
      <w:color w:val="2E75B6" w:themeColor="accent1" w:themeShade="BF"/>
    </w:rPr>
  </w:style>
  <w:style w:type="paragraph" w:styleId="6">
    <w:name w:val="heading 5"/>
    <w:basedOn w:val="1"/>
    <w:next w:val="1"/>
    <w:link w:val="31"/>
    <w:semiHidden/>
    <w:unhideWhenUsed/>
    <w:qFormat/>
    <w:uiPriority w:val="9"/>
    <w:pPr>
      <w:keepNext/>
      <w:keepLines/>
      <w:numPr>
        <w:ilvl w:val="4"/>
        <w:numId w:val="1"/>
      </w:numPr>
      <w:spacing w:before="40" w:after="0"/>
      <w:outlineLvl w:val="4"/>
    </w:pPr>
    <w:rPr>
      <w:rFonts w:asciiTheme="majorHAnsi" w:hAnsiTheme="majorHAnsi" w:eastAsiaTheme="majorEastAsia" w:cstheme="majorBidi"/>
      <w:color w:val="2E75B6" w:themeColor="accent1" w:themeShade="BF"/>
    </w:rPr>
  </w:style>
  <w:style w:type="paragraph" w:styleId="7">
    <w:name w:val="heading 6"/>
    <w:basedOn w:val="1"/>
    <w:next w:val="1"/>
    <w:link w:val="32"/>
    <w:semiHidden/>
    <w:unhideWhenUsed/>
    <w:qFormat/>
    <w:uiPriority w:val="9"/>
    <w:pPr>
      <w:keepNext/>
      <w:keepLines/>
      <w:numPr>
        <w:ilvl w:val="5"/>
        <w:numId w:val="1"/>
      </w:numPr>
      <w:spacing w:before="40" w:after="0"/>
      <w:outlineLvl w:val="5"/>
    </w:pPr>
    <w:rPr>
      <w:rFonts w:asciiTheme="majorHAnsi" w:hAnsiTheme="majorHAnsi" w:eastAsiaTheme="majorEastAsia" w:cstheme="majorBidi"/>
      <w:color w:val="1F4E79" w:themeColor="accent1" w:themeShade="80"/>
    </w:rPr>
  </w:style>
  <w:style w:type="paragraph" w:styleId="8">
    <w:name w:val="heading 7"/>
    <w:basedOn w:val="1"/>
    <w:next w:val="1"/>
    <w:link w:val="33"/>
    <w:semiHidden/>
    <w:unhideWhenUsed/>
    <w:qFormat/>
    <w:uiPriority w:val="9"/>
    <w:pPr>
      <w:keepNext/>
      <w:keepLines/>
      <w:numPr>
        <w:ilvl w:val="6"/>
        <w:numId w:val="1"/>
      </w:numPr>
      <w:spacing w:before="40" w:after="0"/>
      <w:outlineLvl w:val="6"/>
    </w:pPr>
    <w:rPr>
      <w:rFonts w:asciiTheme="majorHAnsi" w:hAnsiTheme="majorHAnsi" w:eastAsiaTheme="majorEastAsia" w:cstheme="majorBidi"/>
      <w:i/>
      <w:iCs/>
      <w:color w:val="1F4E79" w:themeColor="accent1" w:themeShade="80"/>
    </w:rPr>
  </w:style>
  <w:style w:type="paragraph" w:styleId="9">
    <w:name w:val="heading 8"/>
    <w:basedOn w:val="1"/>
    <w:next w:val="1"/>
    <w:link w:val="34"/>
    <w:semiHidden/>
    <w:unhideWhenUsed/>
    <w:qFormat/>
    <w:uiPriority w:val="9"/>
    <w:pPr>
      <w:keepNext/>
      <w:keepLines/>
      <w:numPr>
        <w:ilvl w:val="7"/>
        <w:numId w:val="1"/>
      </w:numPr>
      <w:spacing w:before="40" w:after="0"/>
      <w:outlineLvl w:val="7"/>
    </w:pPr>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paragraph" w:styleId="10">
    <w:name w:val="heading 9"/>
    <w:basedOn w:val="1"/>
    <w:next w:val="1"/>
    <w:link w:val="35"/>
    <w:semiHidden/>
    <w:unhideWhenUsed/>
    <w:qFormat/>
    <w:uiPriority w:val="9"/>
    <w:pPr>
      <w:keepNext/>
      <w:keepLines/>
      <w:numPr>
        <w:ilvl w:val="8"/>
        <w:numId w:val="1"/>
      </w:numPr>
      <w:spacing w:before="40" w:after="0"/>
      <w:outlineLvl w:val="8"/>
    </w:pPr>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Balloon Text"/>
    <w:basedOn w:val="1"/>
    <w:link w:val="38"/>
    <w:semiHidden/>
    <w:unhideWhenUsed/>
    <w:qFormat/>
    <w:uiPriority w:val="99"/>
    <w:pPr>
      <w:spacing w:after="0" w:line="240" w:lineRule="auto"/>
    </w:pPr>
    <w:rPr>
      <w:rFonts w:ascii="Tahoma" w:hAnsi="Tahoma" w:cs="Tahoma"/>
      <w:sz w:val="16"/>
      <w:szCs w:val="16"/>
    </w:rPr>
  </w:style>
  <w:style w:type="character" w:styleId="14">
    <w:name w:val="Emphasis"/>
    <w:basedOn w:val="11"/>
    <w:qFormat/>
    <w:uiPriority w:val="20"/>
    <w:rPr>
      <w:i/>
      <w:iCs/>
    </w:rPr>
  </w:style>
  <w:style w:type="paragraph" w:styleId="15">
    <w:name w:val="footer"/>
    <w:basedOn w:val="1"/>
    <w:link w:val="42"/>
    <w:unhideWhenUsed/>
    <w:qFormat/>
    <w:uiPriority w:val="99"/>
    <w:pPr>
      <w:tabs>
        <w:tab w:val="center" w:pos="4680"/>
        <w:tab w:val="right" w:pos="9360"/>
      </w:tabs>
      <w:spacing w:after="0" w:line="240" w:lineRule="auto"/>
    </w:pPr>
  </w:style>
  <w:style w:type="character" w:styleId="16">
    <w:name w:val="footnote reference"/>
    <w:basedOn w:val="11"/>
    <w:semiHidden/>
    <w:unhideWhenUsed/>
    <w:uiPriority w:val="99"/>
    <w:rPr>
      <w:vertAlign w:val="superscript"/>
    </w:rPr>
  </w:style>
  <w:style w:type="paragraph" w:styleId="17">
    <w:name w:val="footnote text"/>
    <w:basedOn w:val="1"/>
    <w:link w:val="45"/>
    <w:semiHidden/>
    <w:unhideWhenUsed/>
    <w:uiPriority w:val="99"/>
    <w:pPr>
      <w:spacing w:after="0" w:line="240" w:lineRule="auto"/>
    </w:pPr>
    <w:rPr>
      <w:sz w:val="20"/>
      <w:szCs w:val="20"/>
    </w:rPr>
  </w:style>
  <w:style w:type="paragraph" w:styleId="18">
    <w:name w:val="header"/>
    <w:basedOn w:val="1"/>
    <w:link w:val="41"/>
    <w:unhideWhenUsed/>
    <w:qFormat/>
    <w:uiPriority w:val="99"/>
    <w:pPr>
      <w:tabs>
        <w:tab w:val="center" w:pos="4680"/>
        <w:tab w:val="right" w:pos="9360"/>
      </w:tabs>
      <w:spacing w:after="0" w:line="240" w:lineRule="auto"/>
    </w:pPr>
  </w:style>
  <w:style w:type="character" w:styleId="19">
    <w:name w:val="Hyperlink"/>
    <w:basedOn w:val="11"/>
    <w:unhideWhenUsed/>
    <w:qFormat/>
    <w:uiPriority w:val="99"/>
    <w:rPr>
      <w:color w:val="0000FF"/>
      <w:u w:val="single"/>
    </w:rPr>
  </w:style>
  <w:style w:type="paragraph" w:styleId="20">
    <w:name w:val="Normal (Web)"/>
    <w:basedOn w:val="1"/>
    <w:semiHidden/>
    <w:unhideWhenUsed/>
    <w:uiPriority w:val="99"/>
    <w:pPr>
      <w:spacing w:before="100" w:beforeAutospacing="1" w:after="100" w:afterAutospacing="1" w:line="240" w:lineRule="auto"/>
    </w:pPr>
    <w:rPr>
      <w:rFonts w:eastAsia="Times New Roman" w:cs="Times New Roman"/>
      <w:szCs w:val="24"/>
    </w:rPr>
  </w:style>
  <w:style w:type="character" w:styleId="21">
    <w:name w:val="Strong"/>
    <w:basedOn w:val="11"/>
    <w:qFormat/>
    <w:uiPriority w:val="22"/>
    <w:rPr>
      <w:b/>
      <w:bCs/>
    </w:rPr>
  </w:style>
  <w:style w:type="table" w:styleId="22">
    <w:name w:val="Table Grid"/>
    <w:basedOn w:val="12"/>
    <w:unhideWhenUsed/>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3">
    <w:name w:val="toc 1"/>
    <w:basedOn w:val="1"/>
    <w:next w:val="1"/>
    <w:autoRedefine/>
    <w:unhideWhenUsed/>
    <w:qFormat/>
    <w:uiPriority w:val="39"/>
    <w:pPr>
      <w:spacing w:after="100"/>
    </w:pPr>
  </w:style>
  <w:style w:type="paragraph" w:styleId="24">
    <w:name w:val="toc 2"/>
    <w:basedOn w:val="1"/>
    <w:next w:val="1"/>
    <w:autoRedefine/>
    <w:unhideWhenUsed/>
    <w:qFormat/>
    <w:uiPriority w:val="39"/>
    <w:pPr>
      <w:spacing w:after="100"/>
      <w:ind w:left="240"/>
    </w:pPr>
  </w:style>
  <w:style w:type="paragraph" w:styleId="25">
    <w:name w:val="toc 3"/>
    <w:basedOn w:val="1"/>
    <w:next w:val="1"/>
    <w:autoRedefine/>
    <w:unhideWhenUsed/>
    <w:uiPriority w:val="39"/>
    <w:pPr>
      <w:spacing w:after="100"/>
      <w:ind w:left="480"/>
    </w:pPr>
  </w:style>
  <w:style w:type="table" w:styleId="26">
    <w:name w:val="Medium Shading 1 Accent 5"/>
    <w:basedOn w:val="12"/>
    <w:qFormat/>
    <w:uiPriority w:val="63"/>
    <w:pPr>
      <w:spacing w:after="0" w:line="240" w:lineRule="auto"/>
    </w:pPr>
    <w:tblPr>
      <w:tblBorders>
        <w:top w:val="single" w:color="7295D2" w:themeColor="accent5" w:themeTint="BF" w:sz="8" w:space="0"/>
        <w:left w:val="single" w:color="7295D2" w:themeColor="accent5" w:themeTint="BF" w:sz="8" w:space="0"/>
        <w:bottom w:val="single" w:color="7295D2" w:themeColor="accent5" w:themeTint="BF" w:sz="8" w:space="0"/>
        <w:right w:val="single" w:color="7295D2" w:themeColor="accent5" w:themeTint="BF" w:sz="8" w:space="0"/>
        <w:insideH w:val="single" w:color="7295D2" w:themeColor="accent5"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295D2" w:themeColor="accent5" w:themeTint="BF" w:sz="8" w:space="0"/>
          <w:left w:val="single" w:color="7295D2" w:themeColor="accent5" w:themeTint="BF" w:sz="8" w:space="0"/>
          <w:bottom w:val="single" w:color="7295D2" w:themeColor="accent5" w:themeTint="BF" w:sz="8" w:space="0"/>
          <w:right w:val="single" w:color="7295D2" w:themeColor="accent5" w:themeTint="BF" w:sz="8" w:space="0"/>
          <w:insideH w:val="nil"/>
          <w:insideV w:val="nil"/>
        </w:tcBorders>
        <w:shd w:val="clear" w:color="auto" w:fill="4472C4" w:themeFill="accent5"/>
      </w:tcPr>
    </w:tblStylePr>
    <w:tblStylePr w:type="lastRow">
      <w:pPr>
        <w:spacing w:before="0" w:after="0" w:line="240" w:lineRule="auto"/>
      </w:pPr>
      <w:rPr>
        <w:b/>
        <w:bCs/>
      </w:rPr>
      <w:tblPr/>
      <w:tcPr>
        <w:tcBorders>
          <w:top w:val="double" w:color="7295D2" w:themeColor="accent5" w:themeTint="BF" w:sz="6" w:space="0"/>
          <w:left w:val="single" w:color="7295D2" w:themeColor="accent5" w:themeTint="BF" w:sz="8" w:space="0"/>
          <w:bottom w:val="single" w:color="7295D2" w:themeColor="accent5" w:themeTint="BF" w:sz="8" w:space="0"/>
          <w:right w:val="single" w:color="7295D2"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0DCF0" w:themeFill="accent5" w:themeFillTint="3F"/>
      </w:tcPr>
    </w:tblStylePr>
    <w:tblStylePr w:type="band1Horz">
      <w:tblPr/>
      <w:tcPr>
        <w:tcBorders>
          <w:insideH w:val="nil"/>
          <w:insideV w:val="nil"/>
        </w:tcBorders>
        <w:shd w:val="clear" w:color="auto" w:fill="D0DCF0" w:themeFill="accent5" w:themeFillTint="3F"/>
      </w:tcPr>
    </w:tblStylePr>
    <w:tblStylePr w:type="band2Horz">
      <w:tblPr/>
      <w:tcPr>
        <w:tcBorders>
          <w:insideH w:val="nil"/>
          <w:insideV w:val="nil"/>
        </w:tcBorders>
      </w:tcPr>
    </w:tblStylePr>
  </w:style>
  <w:style w:type="character" w:customStyle="1" w:styleId="27">
    <w:name w:val="Heading 1 Char"/>
    <w:basedOn w:val="11"/>
    <w:link w:val="2"/>
    <w:qFormat/>
    <w:uiPriority w:val="9"/>
    <w:rPr>
      <w:rFonts w:ascii="Times New Roman" w:hAnsi="Times New Roman" w:eastAsiaTheme="majorEastAsia" w:cstheme="majorBidi"/>
      <w:b/>
      <w:color w:val="000000" w:themeColor="text1"/>
      <w:sz w:val="24"/>
      <w:szCs w:val="32"/>
      <w:lang w:val="en-GB"/>
      <w14:textFill>
        <w14:solidFill>
          <w14:schemeClr w14:val="tx1"/>
        </w14:solidFill>
      </w14:textFill>
    </w:rPr>
  </w:style>
  <w:style w:type="character" w:customStyle="1" w:styleId="28">
    <w:name w:val="Heading 2 Char"/>
    <w:basedOn w:val="11"/>
    <w:link w:val="3"/>
    <w:qFormat/>
    <w:uiPriority w:val="9"/>
    <w:rPr>
      <w:rFonts w:ascii="Times New Roman" w:hAnsi="Times New Roman" w:eastAsiaTheme="majorEastAsia" w:cstheme="majorBidi"/>
      <w:i/>
      <w:color w:val="000000" w:themeColor="text1"/>
      <w:sz w:val="24"/>
      <w:szCs w:val="26"/>
      <w:lang w:val="en-GB"/>
      <w14:textFill>
        <w14:solidFill>
          <w14:schemeClr w14:val="tx1"/>
        </w14:solidFill>
      </w14:textFill>
    </w:rPr>
  </w:style>
  <w:style w:type="character" w:customStyle="1" w:styleId="29">
    <w:name w:val="Heading 3 Char"/>
    <w:basedOn w:val="11"/>
    <w:link w:val="4"/>
    <w:uiPriority w:val="9"/>
    <w:rPr>
      <w:rFonts w:ascii="Times New Roman" w:hAnsi="Times New Roman" w:eastAsiaTheme="majorEastAsia" w:cstheme="majorBidi"/>
      <w:sz w:val="24"/>
      <w:szCs w:val="24"/>
      <w:lang w:val="en-GB"/>
    </w:rPr>
  </w:style>
  <w:style w:type="character" w:customStyle="1" w:styleId="30">
    <w:name w:val="Heading 4 Char"/>
    <w:basedOn w:val="11"/>
    <w:link w:val="5"/>
    <w:semiHidden/>
    <w:qFormat/>
    <w:uiPriority w:val="9"/>
    <w:rPr>
      <w:rFonts w:asciiTheme="majorHAnsi" w:hAnsiTheme="majorHAnsi" w:eastAsiaTheme="majorEastAsia" w:cstheme="majorBidi"/>
      <w:i/>
      <w:iCs/>
      <w:color w:val="2E75B6" w:themeColor="accent1" w:themeShade="BF"/>
    </w:rPr>
  </w:style>
  <w:style w:type="character" w:customStyle="1" w:styleId="31">
    <w:name w:val="Heading 5 Char"/>
    <w:basedOn w:val="11"/>
    <w:link w:val="6"/>
    <w:semiHidden/>
    <w:uiPriority w:val="9"/>
    <w:rPr>
      <w:rFonts w:asciiTheme="majorHAnsi" w:hAnsiTheme="majorHAnsi" w:eastAsiaTheme="majorEastAsia" w:cstheme="majorBidi"/>
      <w:color w:val="2E75B6" w:themeColor="accent1" w:themeShade="BF"/>
    </w:rPr>
  </w:style>
  <w:style w:type="character" w:customStyle="1" w:styleId="32">
    <w:name w:val="Heading 6 Char"/>
    <w:basedOn w:val="11"/>
    <w:link w:val="7"/>
    <w:semiHidden/>
    <w:uiPriority w:val="9"/>
    <w:rPr>
      <w:rFonts w:asciiTheme="majorHAnsi" w:hAnsiTheme="majorHAnsi" w:eastAsiaTheme="majorEastAsia" w:cstheme="majorBidi"/>
      <w:color w:val="1F4E79" w:themeColor="accent1" w:themeShade="80"/>
    </w:rPr>
  </w:style>
  <w:style w:type="character" w:customStyle="1" w:styleId="33">
    <w:name w:val="Heading 7 Char"/>
    <w:basedOn w:val="11"/>
    <w:link w:val="8"/>
    <w:semiHidden/>
    <w:qFormat/>
    <w:uiPriority w:val="9"/>
    <w:rPr>
      <w:rFonts w:asciiTheme="majorHAnsi" w:hAnsiTheme="majorHAnsi" w:eastAsiaTheme="majorEastAsia" w:cstheme="majorBidi"/>
      <w:i/>
      <w:iCs/>
      <w:color w:val="1F4E79" w:themeColor="accent1" w:themeShade="80"/>
    </w:rPr>
  </w:style>
  <w:style w:type="character" w:customStyle="1" w:styleId="34">
    <w:name w:val="Heading 8 Char"/>
    <w:basedOn w:val="11"/>
    <w:link w:val="9"/>
    <w:semiHidden/>
    <w:uiPriority w:val="9"/>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character" w:customStyle="1" w:styleId="35">
    <w:name w:val="Heading 9 Char"/>
    <w:basedOn w:val="11"/>
    <w:link w:val="10"/>
    <w:semiHidden/>
    <w:qFormat/>
    <w:uiPriority w:val="9"/>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paragraph" w:styleId="36">
    <w:name w:val="List Paragraph"/>
    <w:basedOn w:val="1"/>
    <w:qFormat/>
    <w:uiPriority w:val="34"/>
    <w:pPr>
      <w:spacing w:after="200" w:line="480" w:lineRule="auto"/>
      <w:ind w:left="720"/>
      <w:contextualSpacing/>
    </w:pPr>
  </w:style>
  <w:style w:type="paragraph" w:customStyle="1" w:styleId="37">
    <w:name w:val="TOC Heading"/>
    <w:basedOn w:val="2"/>
    <w:next w:val="1"/>
    <w:unhideWhenUsed/>
    <w:qFormat/>
    <w:uiPriority w:val="39"/>
    <w:pPr>
      <w:numPr>
        <w:numId w:val="0"/>
      </w:numPr>
      <w:jc w:val="left"/>
      <w:outlineLvl w:val="9"/>
    </w:pPr>
    <w:rPr>
      <w:rFonts w:asciiTheme="majorHAnsi" w:hAnsiTheme="majorHAnsi"/>
      <w:color w:val="2E75B6" w:themeColor="accent1" w:themeShade="BF"/>
      <w:sz w:val="32"/>
    </w:rPr>
  </w:style>
  <w:style w:type="character" w:customStyle="1" w:styleId="38">
    <w:name w:val="Balloon Text Char"/>
    <w:basedOn w:val="11"/>
    <w:link w:val="13"/>
    <w:semiHidden/>
    <w:uiPriority w:val="99"/>
    <w:rPr>
      <w:rFonts w:ascii="Tahoma" w:hAnsi="Tahoma" w:cs="Tahoma"/>
      <w:sz w:val="16"/>
      <w:szCs w:val="16"/>
    </w:rPr>
  </w:style>
  <w:style w:type="character" w:customStyle="1" w:styleId="39">
    <w:name w:val="hgkelc"/>
    <w:basedOn w:val="11"/>
    <w:qFormat/>
    <w:uiPriority w:val="0"/>
  </w:style>
  <w:style w:type="character" w:customStyle="1" w:styleId="40">
    <w:name w:val="kx21rb"/>
    <w:basedOn w:val="11"/>
    <w:qFormat/>
    <w:uiPriority w:val="0"/>
  </w:style>
  <w:style w:type="character" w:customStyle="1" w:styleId="41">
    <w:name w:val="Header Char"/>
    <w:basedOn w:val="11"/>
    <w:link w:val="18"/>
    <w:uiPriority w:val="99"/>
    <w:rPr>
      <w:rFonts w:ascii="Times New Roman" w:hAnsi="Times New Roman"/>
      <w:sz w:val="24"/>
    </w:rPr>
  </w:style>
  <w:style w:type="character" w:customStyle="1" w:styleId="42">
    <w:name w:val="Footer Char"/>
    <w:basedOn w:val="11"/>
    <w:link w:val="15"/>
    <w:uiPriority w:val="99"/>
    <w:rPr>
      <w:rFonts w:ascii="Times New Roman" w:hAnsi="Times New Roman"/>
      <w:sz w:val="24"/>
    </w:rPr>
  </w:style>
  <w:style w:type="paragraph" w:customStyle="1" w:styleId="43">
    <w:name w:val="comp"/>
    <w:basedOn w:val="1"/>
    <w:uiPriority w:val="0"/>
    <w:pPr>
      <w:spacing w:before="100" w:beforeAutospacing="1" w:after="100" w:afterAutospacing="1" w:line="240" w:lineRule="auto"/>
    </w:pPr>
    <w:rPr>
      <w:rFonts w:eastAsia="Times New Roman" w:cs="Times New Roman"/>
      <w:szCs w:val="24"/>
    </w:rPr>
  </w:style>
  <w:style w:type="character" w:customStyle="1" w:styleId="44">
    <w:name w:val="mntl-inline-citation"/>
    <w:basedOn w:val="11"/>
    <w:uiPriority w:val="0"/>
  </w:style>
  <w:style w:type="character" w:customStyle="1" w:styleId="45">
    <w:name w:val="Footnote Text Char"/>
    <w:basedOn w:val="11"/>
    <w:link w:val="17"/>
    <w:semiHidden/>
    <w:uiPriority w:val="99"/>
    <w:rPr>
      <w:rFonts w:ascii="Times New Roman" w:hAnsi="Times New Roman"/>
      <w:sz w:val="20"/>
      <w:szCs w:val="20"/>
    </w:rPr>
  </w:style>
</w:styles>
</file>

<file path=word/_rels/document.xml.rels><?xml version="1.0" encoding="UTF-8" standalone="yes"?>
<Relationships xmlns="http://schemas.openxmlformats.org/package/2006/relationships"><Relationship Id="rId9" Type="http://schemas.microsoft.com/office/2007/relationships/hdphoto" Target="media/image2.wdp"/><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numbering" Target="numbering.xml"/><Relationship Id="rId16" Type="http://schemas.openxmlformats.org/officeDocument/2006/relationships/image" Target="media/image9.emf"/><Relationship Id="rId15" Type="http://schemas.openxmlformats.org/officeDocument/2006/relationships/image" Target="media/image8.png"/><Relationship Id="rId14" Type="http://schemas.microsoft.com/office/2007/relationships/hdphoto" Target="media/image7.wdp"/><Relationship Id="rId13" Type="http://schemas.openxmlformats.org/officeDocument/2006/relationships/image" Target="media/image6.png"/><Relationship Id="rId12" Type="http://schemas.openxmlformats.org/officeDocument/2006/relationships/image" Target="media/image5.png"/><Relationship Id="rId11" Type="http://schemas.microsoft.com/office/2007/relationships/hdphoto" Target="media/image4.wdp"/><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2C1630-A99A-4B2F-826A-30F1813BCEC6}">
  <ds:schemaRefs/>
</ds:datastoreItem>
</file>

<file path=docProps/app.xml><?xml version="1.0" encoding="utf-8"?>
<Properties xmlns="http://schemas.openxmlformats.org/officeDocument/2006/extended-properties" xmlns:vt="http://schemas.openxmlformats.org/officeDocument/2006/docPropsVTypes">
  <Template>Normal</Template>
  <Pages>54</Pages>
  <Words>15241</Words>
  <Characters>86878</Characters>
  <Lines>723</Lines>
  <Paragraphs>203</Paragraphs>
  <TotalTime>0</TotalTime>
  <ScaleCrop>false</ScaleCrop>
  <LinksUpToDate>false</LinksUpToDate>
  <CharactersWithSpaces>101916</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2023-08-11T15:32:00Z</dcterms:created>
  <dc:creator>Windows User</dc:creator>
  <cp:lastModifiedBy>Lenovo</cp:lastModifiedBy>
  <dcterms:modified xsi:type="dcterms:W3CDTF">2025-09-13T09:13:22Z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7fbd15289aeaee06a46511e82197f8ee1e2013dcca3a400016849e88c01b7b1e</vt:lpwstr>
  </property>
  <property fmtid="{D5CDD505-2E9C-101B-9397-08002B2CF9AE}" pid="3" name="KSOProductBuildVer">
    <vt:lpwstr>1033-12.2.0.22549</vt:lpwstr>
  </property>
  <property fmtid="{D5CDD505-2E9C-101B-9397-08002B2CF9AE}" pid="4" name="ICV">
    <vt:lpwstr>CD537061D2C7441DA421592FC30B445D_12</vt:lpwstr>
  </property>
</Properties>
</file>